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6779" w14:textId="77777777" w:rsidR="00F45629" w:rsidRDefault="00F45629" w:rsidP="00F45629">
      <w:pPr>
        <w:pStyle w:val="BodyText"/>
        <w:ind w:left="9552"/>
        <w:rPr>
          <w:rFonts w:ascii="Times New Roman"/>
        </w:rPr>
      </w:pPr>
      <w:r>
        <w:rPr>
          <w:noProof/>
          <w:lang w:val="en-GB" w:eastAsia="en-GB"/>
        </w:rPr>
        <w:drawing>
          <wp:anchor distT="0" distB="0" distL="114300" distR="114300" simplePos="0" relativeHeight="251665408" behindDoc="1" locked="0" layoutInCell="1" allowOverlap="1" wp14:anchorId="702FEAB9" wp14:editId="11A478C0">
            <wp:simplePos x="0" y="0"/>
            <wp:positionH relativeFrom="column">
              <wp:posOffset>3859530</wp:posOffset>
            </wp:positionH>
            <wp:positionV relativeFrom="paragraph">
              <wp:posOffset>-102235</wp:posOffset>
            </wp:positionV>
            <wp:extent cx="3171190" cy="1028065"/>
            <wp:effectExtent l="0" t="0" r="0" b="0"/>
            <wp:wrapNone/>
            <wp:docPr id="17" name="Picture 17" descr="MicrosoftTeams-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Teams-imag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190" cy="10280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1" locked="0" layoutInCell="1" allowOverlap="1" wp14:anchorId="0D09BC23" wp14:editId="4983477B">
                <wp:simplePos x="0" y="0"/>
                <wp:positionH relativeFrom="page">
                  <wp:posOffset>0</wp:posOffset>
                </wp:positionH>
                <wp:positionV relativeFrom="page">
                  <wp:posOffset>0</wp:posOffset>
                </wp:positionV>
                <wp:extent cx="7560310" cy="1069213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5EB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2F8B" id="Rectangle 4" o:spid="_x0000_s1026" style="position:absolute;margin-left:0;margin-top:0;width:595.3pt;height:84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" fillcolor="#005eb8" stroked="f">
                <w10:wrap anchorx="page" anchory="page"/>
              </v:rect>
            </w:pict>
          </mc:Fallback>
        </mc:AlternateContent>
      </w:r>
    </w:p>
    <w:p w14:paraId="5E337927" w14:textId="77777777" w:rsidR="00F45629" w:rsidRDefault="00F45629" w:rsidP="00F45629">
      <w:pPr>
        <w:spacing w:line="288" w:lineRule="exact"/>
        <w:ind w:right="172"/>
        <w:jc w:val="right"/>
        <w:rPr>
          <w:rFonts w:ascii="Trebuchet MS"/>
          <w:b/>
          <w:sz w:val="25"/>
        </w:rPr>
      </w:pPr>
    </w:p>
    <w:p w14:paraId="77BBB218" w14:textId="77777777" w:rsidR="00F45629" w:rsidRDefault="00F45629" w:rsidP="00F45629">
      <w:pPr>
        <w:pStyle w:val="BodyText"/>
        <w:rPr>
          <w:rFonts w:ascii="Trebuchet MS"/>
          <w:b/>
          <w:sz w:val="28"/>
        </w:rPr>
      </w:pPr>
    </w:p>
    <w:p w14:paraId="76AC3641" w14:textId="77777777" w:rsidR="00F45629" w:rsidRDefault="00F45629" w:rsidP="00F45629">
      <w:pPr>
        <w:pStyle w:val="BodyText"/>
        <w:rPr>
          <w:rFonts w:ascii="Impact"/>
        </w:rPr>
      </w:pPr>
    </w:p>
    <w:p w14:paraId="47AA5F69" w14:textId="77777777" w:rsidR="00F45629" w:rsidRDefault="00F45629" w:rsidP="00F45629">
      <w:pPr>
        <w:pStyle w:val="BodyText"/>
        <w:rPr>
          <w:rFonts w:ascii="Impact"/>
        </w:rPr>
      </w:pPr>
      <w:r w:rsidRPr="00B769B9">
        <w:rPr>
          <w:rFonts w:ascii="Impact"/>
          <w:noProof/>
          <w:lang w:val="en-GB" w:eastAsia="en-GB"/>
        </w:rPr>
        <mc:AlternateContent>
          <mc:Choice Requires="wps">
            <w:drawing>
              <wp:anchor distT="45720" distB="45720" distL="114300" distR="114300" simplePos="0" relativeHeight="251668480" behindDoc="0" locked="0" layoutInCell="1" allowOverlap="1" wp14:anchorId="4C5A1F70" wp14:editId="3874D8CA">
                <wp:simplePos x="0" y="0"/>
                <wp:positionH relativeFrom="column">
                  <wp:posOffset>495300</wp:posOffset>
                </wp:positionH>
                <wp:positionV relativeFrom="paragraph">
                  <wp:posOffset>154305</wp:posOffset>
                </wp:positionV>
                <wp:extent cx="6602730" cy="50800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5080000"/>
                        </a:xfrm>
                        <a:prstGeom prst="rect">
                          <a:avLst/>
                        </a:prstGeom>
                        <a:noFill/>
                        <a:ln w="9525">
                          <a:noFill/>
                          <a:miter lim="800000"/>
                          <a:headEnd/>
                          <a:tailEnd/>
                        </a:ln>
                      </wps:spPr>
                      <wps:txbx>
                        <w:txbxContent>
                          <w:p w14:paraId="2C0FEF13" w14:textId="77777777" w:rsidR="00F45629" w:rsidRPr="00DB2732" w:rsidRDefault="00F45629" w:rsidP="00F45629">
                            <w:pPr>
                              <w:spacing w:before="181" w:line="192" w:lineRule="auto"/>
                              <w:rPr>
                                <w:rFonts w:ascii="Impact"/>
                                <w:sz w:val="144"/>
                              </w:rPr>
                            </w:pPr>
                            <w:r w:rsidRPr="00DB2732">
                              <w:rPr>
                                <w:rFonts w:ascii="Impact"/>
                                <w:color w:val="7CC7FF"/>
                                <w:sz w:val="144"/>
                              </w:rPr>
                              <w:t>ESSEX</w:t>
                            </w:r>
                            <w:r w:rsidRPr="00DB2732">
                              <w:rPr>
                                <w:rFonts w:ascii="Impact"/>
                                <w:color w:val="7CC7FF"/>
                                <w:spacing w:val="-48"/>
                                <w:sz w:val="144"/>
                              </w:rPr>
                              <w:t xml:space="preserve"> </w:t>
                            </w:r>
                            <w:r w:rsidRPr="00DB2732">
                              <w:rPr>
                                <w:rFonts w:ascii="Impact"/>
                                <w:color w:val="7CC7FF"/>
                                <w:sz w:val="144"/>
                              </w:rPr>
                              <w:t xml:space="preserve">PARTNERSHIP UNIVERSITY NHS </w:t>
                            </w:r>
                            <w:r w:rsidRPr="00A903F8">
                              <w:rPr>
                                <w:rFonts w:ascii="Impact"/>
                                <w:color w:val="FFFFFF" w:themeColor="background1"/>
                                <w:sz w:val="144"/>
                              </w:rPr>
                              <w:t>FOUNDATION TRUST</w:t>
                            </w:r>
                          </w:p>
                          <w:p w14:paraId="7A538870" w14:textId="77777777" w:rsidR="00F45629" w:rsidRDefault="00F45629" w:rsidP="00F45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A1F70" id="_x0000_t202" coordsize="21600,21600" o:spt="202" path="m,l,21600r21600,l21600,xe">
                <v:stroke joinstyle="miter"/>
                <v:path gradientshapeok="t" o:connecttype="rect"/>
              </v:shapetype>
              <v:shape id="Text Box 2" o:spid="_x0000_s1026" type="#_x0000_t202" style="position:absolute;margin-left:39pt;margin-top:12.15pt;width:519.9pt;height:40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" filled="f" stroked="f">
                <v:textbox>
                  <w:txbxContent>
                    <w:p w14:paraId="2C0FEF13" w14:textId="77777777" w:rsidR="00F45629" w:rsidRPr="00DB2732" w:rsidRDefault="00F45629" w:rsidP="00F45629">
                      <w:pPr>
                        <w:spacing w:before="181" w:line="192" w:lineRule="auto"/>
                        <w:rPr>
                          <w:rFonts w:ascii="Impact"/>
                          <w:sz w:val="144"/>
                        </w:rPr>
                      </w:pPr>
                      <w:r w:rsidRPr="00DB2732">
                        <w:rPr>
                          <w:rFonts w:ascii="Impact"/>
                          <w:color w:val="7CC7FF"/>
                          <w:sz w:val="144"/>
                        </w:rPr>
                        <w:t>ESSEX</w:t>
                      </w:r>
                      <w:r w:rsidRPr="00DB2732">
                        <w:rPr>
                          <w:rFonts w:ascii="Impact"/>
                          <w:color w:val="7CC7FF"/>
                          <w:spacing w:val="-48"/>
                          <w:sz w:val="144"/>
                        </w:rPr>
                        <w:t xml:space="preserve"> </w:t>
                      </w:r>
                      <w:r w:rsidRPr="00DB2732">
                        <w:rPr>
                          <w:rFonts w:ascii="Impact"/>
                          <w:color w:val="7CC7FF"/>
                          <w:sz w:val="144"/>
                        </w:rPr>
                        <w:t xml:space="preserve">PARTNERSHIP UNIVERSITY NHS </w:t>
                      </w:r>
                      <w:r w:rsidRPr="00A903F8">
                        <w:rPr>
                          <w:rFonts w:ascii="Impact"/>
                          <w:color w:val="FFFFFF" w:themeColor="background1"/>
                          <w:sz w:val="144"/>
                        </w:rPr>
                        <w:t>FOUNDATION TRUST</w:t>
                      </w:r>
                    </w:p>
                    <w:p w14:paraId="7A538870" w14:textId="77777777" w:rsidR="00F45629" w:rsidRDefault="00F45629" w:rsidP="00F45629"/>
                  </w:txbxContent>
                </v:textbox>
                <w10:wrap type="square"/>
              </v:shape>
            </w:pict>
          </mc:Fallback>
        </mc:AlternateContent>
      </w:r>
    </w:p>
    <w:p w14:paraId="6E1B2C76" w14:textId="77777777" w:rsidR="00F45629" w:rsidRDefault="00F45629" w:rsidP="00F45629">
      <w:pPr>
        <w:pStyle w:val="BodyText"/>
        <w:rPr>
          <w:rFonts w:ascii="Impact"/>
        </w:rPr>
      </w:pPr>
    </w:p>
    <w:p w14:paraId="2385AB99" w14:textId="77777777" w:rsidR="00F45629" w:rsidRDefault="00F45629" w:rsidP="00F45629">
      <w:pPr>
        <w:pStyle w:val="BodyText"/>
        <w:rPr>
          <w:rFonts w:ascii="Impact"/>
        </w:rPr>
      </w:pPr>
    </w:p>
    <w:p w14:paraId="5A14C274" w14:textId="77777777" w:rsidR="00F45629" w:rsidRDefault="00F45629" w:rsidP="00F45629">
      <w:pPr>
        <w:pStyle w:val="BodyText"/>
        <w:rPr>
          <w:rFonts w:ascii="Impact"/>
        </w:rPr>
      </w:pPr>
    </w:p>
    <w:p w14:paraId="6974CCFB" w14:textId="77777777" w:rsidR="00F45629" w:rsidRDefault="00F45629" w:rsidP="00F45629">
      <w:pPr>
        <w:pStyle w:val="BodyText"/>
        <w:rPr>
          <w:rFonts w:ascii="Impact"/>
        </w:rPr>
      </w:pPr>
    </w:p>
    <w:p w14:paraId="40E8A827" w14:textId="77777777" w:rsidR="00F45629" w:rsidRDefault="00F45629" w:rsidP="00F45629">
      <w:pPr>
        <w:pStyle w:val="BodyText"/>
        <w:rPr>
          <w:rFonts w:ascii="Impact"/>
        </w:rPr>
      </w:pPr>
    </w:p>
    <w:p w14:paraId="3887BA62" w14:textId="77777777" w:rsidR="00F45629" w:rsidRDefault="00F45629" w:rsidP="00F45629">
      <w:pPr>
        <w:pStyle w:val="BodyText"/>
        <w:rPr>
          <w:rFonts w:ascii="Impact"/>
        </w:rPr>
      </w:pPr>
    </w:p>
    <w:p w14:paraId="4A060FC0" w14:textId="77777777" w:rsidR="00F45629" w:rsidRDefault="00F45629" w:rsidP="00F45629">
      <w:pPr>
        <w:pStyle w:val="BodyText"/>
        <w:rPr>
          <w:rFonts w:ascii="Impact"/>
        </w:rPr>
      </w:pPr>
    </w:p>
    <w:p w14:paraId="659723E5" w14:textId="77777777" w:rsidR="00F45629" w:rsidRDefault="00F45629" w:rsidP="00F45629">
      <w:pPr>
        <w:pStyle w:val="BodyText"/>
        <w:rPr>
          <w:rFonts w:ascii="Impact"/>
        </w:rPr>
      </w:pPr>
    </w:p>
    <w:p w14:paraId="7248FEA6" w14:textId="77777777" w:rsidR="00F45629" w:rsidRDefault="00F45629" w:rsidP="00F45629">
      <w:pPr>
        <w:pStyle w:val="BodyText"/>
        <w:rPr>
          <w:rFonts w:ascii="Impact"/>
        </w:rPr>
      </w:pPr>
    </w:p>
    <w:p w14:paraId="755E2D2C" w14:textId="77777777" w:rsidR="00F45629" w:rsidRDefault="00F45629" w:rsidP="00F45629">
      <w:pPr>
        <w:pStyle w:val="BodyText"/>
        <w:rPr>
          <w:rFonts w:ascii="Impact"/>
        </w:rPr>
      </w:pPr>
    </w:p>
    <w:p w14:paraId="38F7EF64" w14:textId="77777777" w:rsidR="00F45629" w:rsidRDefault="00F45629" w:rsidP="00F45629">
      <w:pPr>
        <w:pStyle w:val="BodyText"/>
        <w:rPr>
          <w:rFonts w:ascii="Impact"/>
        </w:rPr>
      </w:pPr>
    </w:p>
    <w:p w14:paraId="1AA7934A" w14:textId="77777777" w:rsidR="00F45629" w:rsidRDefault="00F45629" w:rsidP="00F45629">
      <w:pPr>
        <w:pStyle w:val="BodyText"/>
        <w:rPr>
          <w:rFonts w:ascii="Impact"/>
        </w:rPr>
      </w:pPr>
    </w:p>
    <w:p w14:paraId="29CA4E0F" w14:textId="77777777" w:rsidR="00F45629" w:rsidRDefault="00F45629" w:rsidP="00F45629">
      <w:pPr>
        <w:pStyle w:val="BodyText"/>
        <w:rPr>
          <w:rFonts w:ascii="Impact"/>
        </w:rPr>
      </w:pPr>
    </w:p>
    <w:p w14:paraId="51215690" w14:textId="77777777" w:rsidR="00F45629" w:rsidRDefault="00F45629" w:rsidP="00F45629">
      <w:pPr>
        <w:pStyle w:val="BodyText"/>
        <w:rPr>
          <w:rFonts w:ascii="Impact"/>
        </w:rPr>
      </w:pPr>
    </w:p>
    <w:p w14:paraId="0702A63C" w14:textId="77777777" w:rsidR="00F45629" w:rsidRDefault="00F45629" w:rsidP="00F45629">
      <w:pPr>
        <w:pStyle w:val="BodyText"/>
        <w:rPr>
          <w:rFonts w:ascii="Impact"/>
        </w:rPr>
      </w:pPr>
      <w:r>
        <w:rPr>
          <w:noProof/>
          <w:lang w:val="en-GB" w:eastAsia="en-GB"/>
        </w:rPr>
        <w:drawing>
          <wp:anchor distT="0" distB="0" distL="0" distR="0" simplePos="0" relativeHeight="251662336" behindDoc="1" locked="0" layoutInCell="1" allowOverlap="1" wp14:anchorId="75AD93B2" wp14:editId="1F081D76">
            <wp:simplePos x="0" y="0"/>
            <wp:positionH relativeFrom="page">
              <wp:posOffset>0</wp:posOffset>
            </wp:positionH>
            <wp:positionV relativeFrom="page">
              <wp:posOffset>3586480</wp:posOffset>
            </wp:positionV>
            <wp:extent cx="5263716" cy="2911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263716" cy="2911500"/>
                    </a:xfrm>
                    <a:prstGeom prst="rect">
                      <a:avLst/>
                    </a:prstGeom>
                  </pic:spPr>
                </pic:pic>
              </a:graphicData>
            </a:graphic>
          </wp:anchor>
        </w:drawing>
      </w:r>
    </w:p>
    <w:p w14:paraId="0BB0100F" w14:textId="77777777" w:rsidR="00F45629" w:rsidRDefault="00F45629" w:rsidP="00F45629">
      <w:pPr>
        <w:pStyle w:val="BodyText"/>
        <w:rPr>
          <w:rFonts w:ascii="Impact"/>
        </w:rPr>
      </w:pPr>
    </w:p>
    <w:p w14:paraId="7C64D521" w14:textId="77777777" w:rsidR="00F45629" w:rsidRDefault="00F45629" w:rsidP="00F45629">
      <w:pPr>
        <w:pStyle w:val="BodyText"/>
        <w:rPr>
          <w:rFonts w:ascii="Impact"/>
        </w:rPr>
      </w:pPr>
    </w:p>
    <w:p w14:paraId="43515058" w14:textId="77777777" w:rsidR="00F45629" w:rsidRDefault="00F45629" w:rsidP="00F45629">
      <w:pPr>
        <w:pStyle w:val="BodyText"/>
        <w:rPr>
          <w:rFonts w:ascii="Impact"/>
        </w:rPr>
      </w:pPr>
    </w:p>
    <w:p w14:paraId="21841577" w14:textId="77777777" w:rsidR="00F45629" w:rsidRDefault="00F45629" w:rsidP="00F45629">
      <w:pPr>
        <w:pStyle w:val="BodyText"/>
        <w:rPr>
          <w:rFonts w:ascii="Impact"/>
        </w:rPr>
      </w:pPr>
    </w:p>
    <w:p w14:paraId="6338335F" w14:textId="77777777" w:rsidR="00F45629" w:rsidRDefault="00F45629" w:rsidP="00F45629">
      <w:pPr>
        <w:pStyle w:val="BodyText"/>
        <w:rPr>
          <w:rFonts w:ascii="Impact"/>
        </w:rPr>
      </w:pPr>
    </w:p>
    <w:p w14:paraId="7E17A5BD" w14:textId="77777777" w:rsidR="00F45629" w:rsidRDefault="00F45629" w:rsidP="00F45629">
      <w:pPr>
        <w:pStyle w:val="BodyText"/>
        <w:rPr>
          <w:rFonts w:ascii="Impact"/>
        </w:rPr>
      </w:pPr>
    </w:p>
    <w:p w14:paraId="6C3E48E1" w14:textId="77777777" w:rsidR="00F45629" w:rsidRDefault="00F45629" w:rsidP="00F45629">
      <w:pPr>
        <w:pStyle w:val="BodyText"/>
        <w:rPr>
          <w:rFonts w:ascii="Impact"/>
        </w:rPr>
      </w:pPr>
    </w:p>
    <w:p w14:paraId="2C7EDE72" w14:textId="77777777" w:rsidR="00F45629" w:rsidRDefault="00F45629" w:rsidP="00F45629">
      <w:pPr>
        <w:pStyle w:val="BodyText"/>
        <w:rPr>
          <w:rFonts w:ascii="Impact"/>
        </w:rPr>
      </w:pPr>
    </w:p>
    <w:p w14:paraId="1A2874E3" w14:textId="77777777" w:rsidR="00F45629" w:rsidRDefault="00F45629" w:rsidP="00F45629">
      <w:pPr>
        <w:pStyle w:val="BodyText"/>
        <w:rPr>
          <w:rFonts w:ascii="Impact"/>
        </w:rPr>
      </w:pPr>
    </w:p>
    <w:p w14:paraId="1D18E828" w14:textId="77777777" w:rsidR="00F45629" w:rsidRDefault="00F45629" w:rsidP="00F45629">
      <w:pPr>
        <w:pStyle w:val="BodyText"/>
        <w:rPr>
          <w:rFonts w:ascii="Impact"/>
        </w:rPr>
      </w:pPr>
      <w:r>
        <w:rPr>
          <w:rFonts w:ascii="Impact"/>
          <w:noProof/>
          <w:lang w:val="en-GB" w:eastAsia="en-GB"/>
        </w:rPr>
        <mc:AlternateContent>
          <mc:Choice Requires="wps">
            <w:drawing>
              <wp:anchor distT="0" distB="0" distL="114300" distR="114300" simplePos="0" relativeHeight="251663360" behindDoc="0" locked="0" layoutInCell="1" allowOverlap="1" wp14:anchorId="155EECD8" wp14:editId="75B0DE0D">
                <wp:simplePos x="0" y="0"/>
                <wp:positionH relativeFrom="column">
                  <wp:posOffset>629714</wp:posOffset>
                </wp:positionH>
                <wp:positionV relativeFrom="paragraph">
                  <wp:posOffset>1626826</wp:posOffset>
                </wp:positionV>
                <wp:extent cx="6309637" cy="1379868"/>
                <wp:effectExtent l="0" t="0" r="0" b="0"/>
                <wp:wrapNone/>
                <wp:docPr id="2" name="Text Box 2"/>
                <wp:cNvGraphicFramePr/>
                <a:graphic xmlns:a="http://schemas.openxmlformats.org/drawingml/2006/main">
                  <a:graphicData uri="http://schemas.microsoft.com/office/word/2010/wordprocessingShape">
                    <wps:wsp>
                      <wps:cNvSpPr txBox="1"/>
                      <wps:spPr>
                        <a:xfrm>
                          <a:off x="0" y="0"/>
                          <a:ext cx="6309637" cy="1379868"/>
                        </a:xfrm>
                        <a:prstGeom prst="rect">
                          <a:avLst/>
                        </a:prstGeom>
                        <a:noFill/>
                        <a:ln w="6350">
                          <a:noFill/>
                        </a:ln>
                      </wps:spPr>
                      <wps:txbx>
                        <w:txbxContent>
                          <w:p w14:paraId="71A61709" w14:textId="3887AC3F" w:rsidR="00F45629" w:rsidRPr="00AC496A" w:rsidRDefault="007E77F0" w:rsidP="00F45629">
                            <w:pPr>
                              <w:spacing w:before="520" w:line="194" w:lineRule="auto"/>
                              <w:ind w:right="1962"/>
                              <w:rPr>
                                <w:rFonts w:ascii="Impact"/>
                                <w:i/>
                                <w:color w:val="FFFFFF"/>
                                <w:w w:val="95"/>
                                <w:sz w:val="73"/>
                              </w:rPr>
                            </w:pPr>
                            <w:r>
                              <w:rPr>
                                <w:rFonts w:ascii="Impact"/>
                                <w:i/>
                                <w:color w:val="FFFFFF"/>
                                <w:spacing w:val="40"/>
                                <w:sz w:val="73"/>
                              </w:rPr>
                              <w:t>GENDER PAY GAP</w:t>
                            </w:r>
                            <w:r w:rsidR="00F45629">
                              <w:rPr>
                                <w:rFonts w:ascii="Impact"/>
                                <w:i/>
                                <w:color w:val="FFFFFF"/>
                                <w:spacing w:val="40"/>
                                <w:sz w:val="73"/>
                              </w:rPr>
                              <w:t xml:space="preserve"> </w:t>
                            </w:r>
                            <w:r w:rsidR="00F45629">
                              <w:rPr>
                                <w:rFonts w:ascii="Impact"/>
                                <w:i/>
                                <w:color w:val="FFFFFF"/>
                                <w:w w:val="95"/>
                                <w:sz w:val="73"/>
                              </w:rPr>
                              <w:t>REPORT</w:t>
                            </w:r>
                            <w:r w:rsidR="00F45629">
                              <w:rPr>
                                <w:rFonts w:ascii="Impact"/>
                                <w:i/>
                                <w:color w:val="FFFFFF"/>
                                <w:spacing w:val="40"/>
                                <w:sz w:val="73"/>
                              </w:rPr>
                              <w:t xml:space="preserve"> </w:t>
                            </w:r>
                            <w:r>
                              <w:rPr>
                                <w:rFonts w:ascii="Impact"/>
                                <w:i/>
                                <w:color w:val="FFFFFF"/>
                                <w:w w:val="95"/>
                                <w:sz w:val="73"/>
                              </w:rPr>
                              <w:t>2024</w:t>
                            </w:r>
                          </w:p>
                          <w:p w14:paraId="0BCEB945" w14:textId="77777777" w:rsidR="00F45629" w:rsidRDefault="00F45629" w:rsidP="00F45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5EECD8" id="_x0000_s1027" type="#_x0000_t202" style="position:absolute;margin-left:49.6pt;margin-top:128.1pt;width:496.8pt;height:10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" filled="f" stroked="f" strokeweight=".5pt">
                <v:textbox>
                  <w:txbxContent>
                    <w:p w14:paraId="71A61709" w14:textId="3887AC3F" w:rsidR="00F45629" w:rsidRPr="00AC496A" w:rsidRDefault="007E77F0" w:rsidP="00F45629">
                      <w:pPr>
                        <w:spacing w:before="520" w:line="194" w:lineRule="auto"/>
                        <w:ind w:right="1962"/>
                        <w:rPr>
                          <w:rFonts w:ascii="Impact"/>
                          <w:i/>
                          <w:color w:val="FFFFFF"/>
                          <w:w w:val="95"/>
                          <w:sz w:val="73"/>
                        </w:rPr>
                      </w:pPr>
                      <w:r>
                        <w:rPr>
                          <w:rFonts w:ascii="Impact"/>
                          <w:i/>
                          <w:color w:val="FFFFFF"/>
                          <w:spacing w:val="40"/>
                          <w:sz w:val="73"/>
                        </w:rPr>
                        <w:t>GENDER PAY GAP</w:t>
                      </w:r>
                      <w:r w:rsidR="00F45629">
                        <w:rPr>
                          <w:rFonts w:ascii="Impact"/>
                          <w:i/>
                          <w:color w:val="FFFFFF"/>
                          <w:spacing w:val="40"/>
                          <w:sz w:val="73"/>
                        </w:rPr>
                        <w:t xml:space="preserve"> </w:t>
                      </w:r>
                      <w:r w:rsidR="00F45629">
                        <w:rPr>
                          <w:rFonts w:ascii="Impact"/>
                          <w:i/>
                          <w:color w:val="FFFFFF"/>
                          <w:w w:val="95"/>
                          <w:sz w:val="73"/>
                        </w:rPr>
                        <w:t>REPORT</w:t>
                      </w:r>
                      <w:r w:rsidR="00F45629">
                        <w:rPr>
                          <w:rFonts w:ascii="Impact"/>
                          <w:i/>
                          <w:color w:val="FFFFFF"/>
                          <w:spacing w:val="40"/>
                          <w:sz w:val="73"/>
                        </w:rPr>
                        <w:t xml:space="preserve"> </w:t>
                      </w:r>
                      <w:r>
                        <w:rPr>
                          <w:rFonts w:ascii="Impact"/>
                          <w:i/>
                          <w:color w:val="FFFFFF"/>
                          <w:w w:val="95"/>
                          <w:sz w:val="73"/>
                        </w:rPr>
                        <w:t>2024</w:t>
                      </w:r>
                    </w:p>
                    <w:p w14:paraId="0BCEB945" w14:textId="77777777" w:rsidR="00F45629" w:rsidRDefault="00F45629" w:rsidP="00F45629"/>
                  </w:txbxContent>
                </v:textbox>
              </v:shape>
            </w:pict>
          </mc:Fallback>
        </mc:AlternateContent>
      </w:r>
    </w:p>
    <w:p w14:paraId="5F8F0924" w14:textId="77777777" w:rsidR="00F45629" w:rsidRDefault="00F45629" w:rsidP="00F45629">
      <w:pPr>
        <w:pStyle w:val="BodyText"/>
        <w:tabs>
          <w:tab w:val="left" w:pos="9757"/>
        </w:tabs>
        <w:rPr>
          <w:rFonts w:ascii="Impact"/>
        </w:rPr>
      </w:pPr>
      <w:r>
        <w:rPr>
          <w:rFonts w:ascii="Impact"/>
        </w:rPr>
        <w:tab/>
      </w:r>
    </w:p>
    <w:p w14:paraId="0D5E9647" w14:textId="77777777" w:rsidR="00F45629" w:rsidRDefault="00F45629" w:rsidP="00F45629">
      <w:pPr>
        <w:pStyle w:val="BodyText"/>
        <w:rPr>
          <w:rFonts w:ascii="Impact"/>
        </w:rPr>
      </w:pPr>
    </w:p>
    <w:p w14:paraId="00B7E05D" w14:textId="77777777" w:rsidR="00F45629" w:rsidRDefault="00F45629" w:rsidP="00F45629">
      <w:pPr>
        <w:pStyle w:val="BodyText"/>
        <w:rPr>
          <w:rFonts w:ascii="Impact"/>
        </w:rPr>
      </w:pPr>
    </w:p>
    <w:p w14:paraId="2926F69A" w14:textId="77777777" w:rsidR="00F45629" w:rsidRDefault="00F45629" w:rsidP="00F45629">
      <w:pPr>
        <w:pStyle w:val="BodyText"/>
        <w:rPr>
          <w:rFonts w:ascii="Impact"/>
        </w:rPr>
      </w:pPr>
    </w:p>
    <w:p w14:paraId="56CF28DE" w14:textId="77777777" w:rsidR="00F45629" w:rsidRDefault="00F45629" w:rsidP="00F45629">
      <w:pPr>
        <w:pStyle w:val="BodyText"/>
        <w:rPr>
          <w:rFonts w:ascii="Impact"/>
        </w:rPr>
      </w:pPr>
    </w:p>
    <w:p w14:paraId="645FB775" w14:textId="7AADC513" w:rsidR="00F45629" w:rsidRDefault="00F45629" w:rsidP="00F45629">
      <w:pPr>
        <w:tabs>
          <w:tab w:val="left" w:pos="9807"/>
        </w:tabs>
        <w:spacing w:line="194" w:lineRule="auto"/>
        <w:rPr>
          <w:rFonts w:ascii="Impact"/>
          <w:sz w:val="73"/>
        </w:rPr>
        <w:sectPr w:rsidR="00F45629" w:rsidSect="00F45629">
          <w:headerReference w:type="even" r:id="rId13"/>
          <w:pgSz w:w="11910" w:h="16840"/>
          <w:pgMar w:top="540" w:right="400" w:bottom="0" w:left="460" w:header="720" w:footer="720" w:gutter="0"/>
          <w:cols w:space="720"/>
        </w:sectPr>
      </w:pPr>
      <w:r>
        <w:rPr>
          <w:noProof/>
          <w:lang w:eastAsia="en-GB"/>
        </w:rPr>
        <w:drawing>
          <wp:anchor distT="0" distB="0" distL="0" distR="0" simplePos="0" relativeHeight="251661312" behindDoc="0" locked="0" layoutInCell="1" allowOverlap="1" wp14:anchorId="1D4392C9" wp14:editId="4462D873">
            <wp:simplePos x="0" y="0"/>
            <wp:positionH relativeFrom="page">
              <wp:posOffset>2335793</wp:posOffset>
            </wp:positionH>
            <wp:positionV relativeFrom="page">
              <wp:posOffset>7893685</wp:posOffset>
            </wp:positionV>
            <wp:extent cx="5176774" cy="27979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176774" cy="2797978"/>
                    </a:xfrm>
                    <a:prstGeom prst="rect">
                      <a:avLst/>
                    </a:prstGeom>
                  </pic:spPr>
                </pic:pic>
              </a:graphicData>
            </a:graphic>
          </wp:anchor>
        </w:drawing>
      </w:r>
      <w:r>
        <w:rPr>
          <w:rFonts w:ascii="Impact"/>
          <w:sz w:val="73"/>
        </w:rPr>
        <w:tab/>
      </w:r>
    </w:p>
    <w:p w14:paraId="605C36FE" w14:textId="77777777" w:rsidR="00A36588" w:rsidRPr="0081337E" w:rsidRDefault="00A36588" w:rsidP="00A36588">
      <w:pPr>
        <w:pStyle w:val="BodyText"/>
        <w:tabs>
          <w:tab w:val="left" w:pos="9552"/>
        </w:tabs>
        <w:rPr>
          <w:rFonts w:ascii="Arial" w:hAnsi="Arial" w:cs="Arial"/>
        </w:rPr>
      </w:pPr>
    </w:p>
    <w:p w14:paraId="4CB6857D" w14:textId="77777777" w:rsidR="00A36588" w:rsidRDefault="00A36588" w:rsidP="00A36588">
      <w:pPr>
        <w:pStyle w:val="BodyText"/>
        <w:tabs>
          <w:tab w:val="left" w:pos="9552"/>
        </w:tabs>
        <w:rPr>
          <w:rFonts w:ascii="Arial" w:hAnsi="Arial" w:cs="Arial"/>
          <w:b/>
          <w:color w:val="005EB8"/>
          <w:sz w:val="28"/>
          <w:szCs w:val="28"/>
        </w:rPr>
      </w:pPr>
      <w:r w:rsidRPr="000E7424">
        <w:rPr>
          <w:rFonts w:ascii="Arial" w:hAnsi="Arial" w:cs="Arial"/>
          <w:b/>
          <w:color w:val="005EB8"/>
          <w:sz w:val="28"/>
          <w:szCs w:val="28"/>
        </w:rPr>
        <w:t>Background to the Trust</w:t>
      </w:r>
    </w:p>
    <w:p w14:paraId="112BF6BD" w14:textId="77777777" w:rsidR="00A36588" w:rsidRPr="000E7424" w:rsidRDefault="00A36588" w:rsidP="00A36588">
      <w:pPr>
        <w:pStyle w:val="BodyText"/>
        <w:tabs>
          <w:tab w:val="left" w:pos="9552"/>
        </w:tabs>
        <w:rPr>
          <w:rFonts w:ascii="Arial" w:hAnsi="Arial" w:cs="Arial"/>
          <w:b/>
          <w:color w:val="005EB8"/>
          <w:sz w:val="28"/>
          <w:szCs w:val="28"/>
        </w:rPr>
      </w:pPr>
    </w:p>
    <w:p w14:paraId="5EA55A78" w14:textId="77777777" w:rsidR="00A36588" w:rsidRPr="000E7424" w:rsidRDefault="00A36588" w:rsidP="00A36588">
      <w:pPr>
        <w:tabs>
          <w:tab w:val="left" w:pos="9552"/>
        </w:tabs>
        <w:rPr>
          <w:rFonts w:ascii="Arial" w:hAnsi="Arial" w:cs="Arial"/>
        </w:rPr>
      </w:pPr>
      <w:r w:rsidRPr="000E7424">
        <w:rPr>
          <w:rFonts w:ascii="Arial" w:hAnsi="Arial" w:cs="Arial"/>
        </w:rPr>
        <w:t>Essex Partnership University NHS Foundation Trust (EPUT) was formed on 1 April 2017 following the merger of North Essex Partnership University NHS  Foundation Trust (NEP) and South Essex Partnership University NHS Foundation Trust (SEPT). EPUT provide community health, mental health and learning disability services for a large population of people throughout Bedfordshire, Essex, Suffolk and Luton. We employ approximately 6,800 staff excluding bank across multiple sites.</w:t>
      </w:r>
    </w:p>
    <w:p w14:paraId="088C9513" w14:textId="77777777" w:rsidR="00A36588" w:rsidRPr="0081337E" w:rsidRDefault="00A36588" w:rsidP="00A36588">
      <w:pPr>
        <w:tabs>
          <w:tab w:val="left" w:pos="9552"/>
        </w:tabs>
        <w:rPr>
          <w:rFonts w:ascii="Arial" w:hAnsi="Arial" w:cs="Arial"/>
        </w:rPr>
      </w:pPr>
      <w:r w:rsidRPr="000E7424">
        <w:rPr>
          <w:rFonts w:ascii="Arial" w:hAnsi="Arial" w:cs="Arial"/>
        </w:rPr>
        <w:t>EPUT is committed to being an equal opportunities employer and to building equality, diversity and inclusion into everything that it does.</w:t>
      </w:r>
      <w:r>
        <w:rPr>
          <w:rFonts w:ascii="Arial" w:hAnsi="Arial" w:cs="Arial"/>
        </w:rPr>
        <w:t xml:space="preserve">  </w:t>
      </w:r>
    </w:p>
    <w:p w14:paraId="143FA776" w14:textId="77777777" w:rsidR="00A36588" w:rsidRPr="0081337E" w:rsidRDefault="00A36588" w:rsidP="00A36588">
      <w:pPr>
        <w:tabs>
          <w:tab w:val="left" w:pos="9552"/>
        </w:tabs>
        <w:rPr>
          <w:rFonts w:ascii="Arial" w:hAnsi="Arial" w:cs="Arial"/>
        </w:rPr>
      </w:pPr>
      <w:r w:rsidRPr="000E7424">
        <w:rPr>
          <w:rFonts w:ascii="Arial" w:hAnsi="Arial" w:cs="Arial"/>
          <w:b/>
          <w:color w:val="005EB8"/>
          <w:sz w:val="28"/>
          <w:szCs w:val="28"/>
        </w:rPr>
        <w:t>Gender pay gap reporting</w:t>
      </w:r>
    </w:p>
    <w:p w14:paraId="69081E20" w14:textId="77777777" w:rsidR="00A36588" w:rsidRPr="000E7424" w:rsidRDefault="00A36588" w:rsidP="00A36588">
      <w:pPr>
        <w:tabs>
          <w:tab w:val="left" w:pos="9552"/>
        </w:tabs>
        <w:rPr>
          <w:rFonts w:ascii="Arial" w:hAnsi="Arial" w:cs="Arial"/>
        </w:rPr>
      </w:pPr>
      <w:r w:rsidRPr="000E7424">
        <w:rPr>
          <w:rFonts w:ascii="Arial" w:hAnsi="Arial" w:cs="Arial"/>
        </w:rPr>
        <w:t>Legislation requires organisations with 250 or more employees to report annually on their gender pay gap. NHS organisations are covered by the Equality Act 2010 (Specific Duties and Public Authorities) Regulations 2017, which came into effect on 31 March 2017. These regulations underpin the Public Sector Equality Duty, which requires organisations to publish their gender pay gap data annually, including mean and median gender pay gaps; mean and median gender bonus gaps; proportion of men and women receiving bonuses; and the proportions of male and female employees in each pay quartile.</w:t>
      </w:r>
    </w:p>
    <w:p w14:paraId="77789DAB" w14:textId="77777777" w:rsidR="00A36588" w:rsidRPr="000E7424" w:rsidRDefault="00A36588" w:rsidP="00A36588">
      <w:pPr>
        <w:tabs>
          <w:tab w:val="left" w:pos="9552"/>
        </w:tabs>
        <w:rPr>
          <w:rFonts w:ascii="Arial" w:hAnsi="Arial" w:cs="Arial"/>
        </w:rPr>
      </w:pPr>
      <w:r w:rsidRPr="000E7424">
        <w:rPr>
          <w:rFonts w:ascii="Arial" w:hAnsi="Arial" w:cs="Arial"/>
        </w:rPr>
        <w:t>Gender pay gap reporting demonstrates the difference in average pay between men and women in a workforce. If a workforce has a particularly high gender pay gap, this can indicate issues to deal address, and further analysis may help identify the cause of those issues.</w:t>
      </w:r>
    </w:p>
    <w:p w14:paraId="6945A679" w14:textId="77777777" w:rsidR="00A36588" w:rsidRPr="000E7424" w:rsidRDefault="00A36588" w:rsidP="00A36588">
      <w:pPr>
        <w:tabs>
          <w:tab w:val="left" w:pos="9552"/>
        </w:tabs>
        <w:rPr>
          <w:rFonts w:ascii="Arial" w:hAnsi="Arial" w:cs="Arial"/>
        </w:rPr>
      </w:pPr>
      <w:r w:rsidRPr="000E7424">
        <w:rPr>
          <w:rFonts w:ascii="Arial" w:hAnsi="Arial" w:cs="Arial"/>
        </w:rPr>
        <w:t xml:space="preserve">It is important to stress that the </w:t>
      </w:r>
      <w:r w:rsidRPr="000E7424">
        <w:rPr>
          <w:rFonts w:ascii="Arial" w:hAnsi="Arial" w:cs="Arial"/>
          <w:b/>
          <w:bCs/>
          <w:u w:val="single"/>
        </w:rPr>
        <w:t>gender pay gap is different to equal pay</w:t>
      </w:r>
      <w:r w:rsidRPr="000E7424">
        <w:rPr>
          <w:rFonts w:ascii="Arial" w:hAnsi="Arial" w:cs="Arial"/>
        </w:rPr>
        <w:t>. Equal pay considers pay differences between men and women who carry out the same jobs, similar jobs or work of equal value. It is unlawful to pay people unequally on the grounds of their gender.</w:t>
      </w:r>
    </w:p>
    <w:p w14:paraId="30106BD1" w14:textId="77777777" w:rsidR="00A36588" w:rsidRPr="000E7424" w:rsidRDefault="00A36588" w:rsidP="00A36588">
      <w:pPr>
        <w:tabs>
          <w:tab w:val="left" w:pos="9552"/>
        </w:tabs>
        <w:rPr>
          <w:rFonts w:ascii="Arial" w:hAnsi="Arial" w:cs="Arial"/>
        </w:rPr>
      </w:pPr>
      <w:r w:rsidRPr="000E7424">
        <w:rPr>
          <w:rFonts w:ascii="Arial" w:hAnsi="Arial" w:cs="Arial"/>
        </w:rPr>
        <w:t xml:space="preserve">In June 2023, NHS England launched the </w:t>
      </w:r>
      <w:hyperlink r:id="rId15">
        <w:r w:rsidRPr="000E7424">
          <w:rPr>
            <w:rStyle w:val="Hyperlink"/>
            <w:rFonts w:ascii="Arial" w:hAnsi="Arial" w:cs="Arial"/>
          </w:rPr>
          <w:t>EDI Improvement Plan</w:t>
        </w:r>
      </w:hyperlink>
      <w:r w:rsidRPr="000E7424">
        <w:rPr>
          <w:rFonts w:ascii="Arial" w:hAnsi="Arial" w:cs="Arial"/>
        </w:rPr>
        <w:t xml:space="preserve"> which sets out targeted actions to address the prejudice and discrimination – direct and indirect – that exists through behaviour, policies, practices and cultures against certain groups and individuals across the NHS workforce. The independent review </w:t>
      </w:r>
      <w:hyperlink r:id="rId16">
        <w:r w:rsidRPr="000E7424">
          <w:rPr>
            <w:rStyle w:val="Hyperlink"/>
            <w:rFonts w:ascii="Arial" w:hAnsi="Arial" w:cs="Arial"/>
          </w:rPr>
          <w:t>Mend the gap (2020)</w:t>
        </w:r>
      </w:hyperlink>
      <w:r w:rsidRPr="000E7424">
        <w:rPr>
          <w:rFonts w:ascii="Arial" w:hAnsi="Arial" w:cs="Arial"/>
        </w:rPr>
        <w:t xml:space="preserve"> describes actions that the NHS should take to address the gender pay gaps in medicine. Many of its recommendations can also be applied t</w:t>
      </w:r>
      <w:r>
        <w:rPr>
          <w:rFonts w:ascii="Arial" w:hAnsi="Arial" w:cs="Arial"/>
        </w:rPr>
        <w:t>o non-medical senior leaders. By 31 March</w:t>
      </w:r>
      <w:r w:rsidRPr="000E7424">
        <w:rPr>
          <w:rFonts w:ascii="Arial" w:hAnsi="Arial" w:cs="Arial"/>
        </w:rPr>
        <w:t xml:space="preserve"> 2024, organisations are required to analyse data to understand relationships between pay, sex, and race. </w:t>
      </w:r>
    </w:p>
    <w:p w14:paraId="0104EE12" w14:textId="77777777" w:rsidR="00A36588" w:rsidRPr="000E7424" w:rsidRDefault="00A36588" w:rsidP="00A36588">
      <w:pPr>
        <w:tabs>
          <w:tab w:val="left" w:pos="9552"/>
        </w:tabs>
        <w:rPr>
          <w:rFonts w:ascii="Arial" w:hAnsi="Arial" w:cs="Arial"/>
        </w:rPr>
      </w:pPr>
      <w:r w:rsidRPr="000E7424">
        <w:rPr>
          <w:rFonts w:ascii="Arial" w:hAnsi="Arial" w:cs="Arial"/>
        </w:rPr>
        <w:t>This report includes:</w:t>
      </w:r>
    </w:p>
    <w:p w14:paraId="352DE468" w14:textId="77777777" w:rsidR="00A36588" w:rsidRPr="00FE07A2" w:rsidRDefault="00A36588" w:rsidP="00A36588">
      <w:pPr>
        <w:pStyle w:val="ListParagraph"/>
        <w:widowControl w:val="0"/>
        <w:numPr>
          <w:ilvl w:val="0"/>
          <w:numId w:val="12"/>
        </w:numPr>
        <w:tabs>
          <w:tab w:val="left" w:pos="9552"/>
        </w:tabs>
        <w:autoSpaceDE w:val="0"/>
        <w:autoSpaceDN w:val="0"/>
        <w:spacing w:after="0" w:line="291" w:lineRule="exact"/>
        <w:rPr>
          <w:rFonts w:ascii="Arial" w:eastAsia="Verdana" w:hAnsi="Arial" w:cs="Arial"/>
        </w:rPr>
      </w:pPr>
      <w:r w:rsidRPr="00FE07A2">
        <w:rPr>
          <w:rFonts w:ascii="Arial" w:eastAsia="Verdana" w:hAnsi="Arial" w:cs="Arial"/>
        </w:rPr>
        <w:t>data and analysis relating to the gender pay gap</w:t>
      </w:r>
    </w:p>
    <w:p w14:paraId="3CA048A4" w14:textId="77777777" w:rsidR="00A36588" w:rsidRPr="00FE07A2" w:rsidRDefault="00A36588" w:rsidP="00A36588">
      <w:pPr>
        <w:pStyle w:val="ListParagraph"/>
        <w:widowControl w:val="0"/>
        <w:numPr>
          <w:ilvl w:val="0"/>
          <w:numId w:val="12"/>
        </w:numPr>
        <w:tabs>
          <w:tab w:val="left" w:pos="9552"/>
        </w:tabs>
        <w:autoSpaceDE w:val="0"/>
        <w:autoSpaceDN w:val="0"/>
        <w:spacing w:after="0" w:line="291" w:lineRule="exact"/>
        <w:rPr>
          <w:rFonts w:ascii="Arial" w:eastAsia="Verdana" w:hAnsi="Arial" w:cs="Arial"/>
        </w:rPr>
      </w:pPr>
      <w:r w:rsidRPr="00FE07A2">
        <w:rPr>
          <w:rFonts w:ascii="Arial" w:eastAsia="Verdana" w:hAnsi="Arial" w:cs="Arial"/>
        </w:rPr>
        <w:t>data and analysis relating to the race pay gap, based on pay grades</w:t>
      </w:r>
    </w:p>
    <w:p w14:paraId="6C0F9F45" w14:textId="77777777" w:rsidR="00A36588" w:rsidRPr="00FE07A2" w:rsidRDefault="00A36588" w:rsidP="00A36588">
      <w:pPr>
        <w:pStyle w:val="ListParagraph"/>
        <w:widowControl w:val="0"/>
        <w:numPr>
          <w:ilvl w:val="0"/>
          <w:numId w:val="12"/>
        </w:numPr>
        <w:tabs>
          <w:tab w:val="left" w:pos="9552"/>
        </w:tabs>
        <w:autoSpaceDE w:val="0"/>
        <w:autoSpaceDN w:val="0"/>
        <w:spacing w:after="0" w:line="291" w:lineRule="exact"/>
        <w:rPr>
          <w:rFonts w:ascii="Arial" w:eastAsia="Verdana" w:hAnsi="Arial" w:cs="Arial"/>
        </w:rPr>
      </w:pPr>
      <w:proofErr w:type="gramStart"/>
      <w:r w:rsidRPr="00FE07A2">
        <w:rPr>
          <w:rFonts w:ascii="Arial" w:eastAsia="Verdana" w:hAnsi="Arial" w:cs="Arial"/>
        </w:rPr>
        <w:t>an</w:t>
      </w:r>
      <w:proofErr w:type="gramEnd"/>
      <w:r w:rsidRPr="00FE07A2">
        <w:rPr>
          <w:rFonts w:ascii="Arial" w:eastAsia="Verdana" w:hAnsi="Arial" w:cs="Arial"/>
        </w:rPr>
        <w:t xml:space="preserve"> action plan to address the pay gap (see appendix).</w:t>
      </w:r>
    </w:p>
    <w:p w14:paraId="2E5DFA93" w14:textId="77777777" w:rsidR="00A36588" w:rsidRPr="000E7424" w:rsidRDefault="00A36588" w:rsidP="00A36588">
      <w:pPr>
        <w:pStyle w:val="ListParagraph"/>
        <w:widowControl w:val="0"/>
        <w:tabs>
          <w:tab w:val="left" w:pos="9552"/>
        </w:tabs>
        <w:autoSpaceDE w:val="0"/>
        <w:autoSpaceDN w:val="0"/>
        <w:spacing w:after="0" w:line="291" w:lineRule="exact"/>
        <w:ind w:left="0"/>
        <w:contextualSpacing w:val="0"/>
        <w:rPr>
          <w:rFonts w:ascii="Arial" w:eastAsia="Verdana" w:hAnsi="Arial" w:cs="Arial"/>
        </w:rPr>
      </w:pPr>
    </w:p>
    <w:p w14:paraId="6662B171" w14:textId="77777777" w:rsidR="00A36588" w:rsidRPr="000E7424" w:rsidRDefault="00A36588" w:rsidP="00A36588">
      <w:pPr>
        <w:tabs>
          <w:tab w:val="left" w:pos="9552"/>
        </w:tabs>
        <w:rPr>
          <w:rFonts w:ascii="Arial" w:hAnsi="Arial" w:cs="Arial"/>
        </w:rPr>
      </w:pPr>
      <w:r w:rsidRPr="000E7424">
        <w:rPr>
          <w:rFonts w:ascii="Arial" w:hAnsi="Arial" w:cs="Arial"/>
          <w:b/>
          <w:color w:val="005EB8"/>
          <w:sz w:val="28"/>
          <w:szCs w:val="28"/>
        </w:rPr>
        <w:t>Definitions and scope</w:t>
      </w:r>
    </w:p>
    <w:p w14:paraId="733E264C" w14:textId="77777777" w:rsidR="00A36588" w:rsidRPr="000E7424" w:rsidRDefault="00A36588" w:rsidP="00A36588">
      <w:pPr>
        <w:tabs>
          <w:tab w:val="left" w:pos="9552"/>
        </w:tabs>
        <w:rPr>
          <w:rFonts w:ascii="Arial" w:hAnsi="Arial" w:cs="Arial"/>
        </w:rPr>
      </w:pPr>
      <w:r w:rsidRPr="000E7424">
        <w:rPr>
          <w:rFonts w:ascii="Arial" w:hAnsi="Arial" w:cs="Arial"/>
        </w:rPr>
        <w:t>The gender pay gap is defined as the difference between the mean or median hourly rate of pay that male and female colleagues receive. The mean pay gap is the difference between average hourly earnings of men and women. This is commonly known as the average and is calculated when you add up the wages of all employees and divide the figure by the number of employees.</w:t>
      </w:r>
    </w:p>
    <w:p w14:paraId="3250212E" w14:textId="77777777" w:rsidR="00A36588" w:rsidRPr="000E7424" w:rsidRDefault="00A36588" w:rsidP="00A36588">
      <w:pPr>
        <w:tabs>
          <w:tab w:val="left" w:pos="9552"/>
        </w:tabs>
        <w:rPr>
          <w:rFonts w:ascii="Arial" w:hAnsi="Arial" w:cs="Arial"/>
        </w:rPr>
      </w:pPr>
      <w:r w:rsidRPr="000E7424">
        <w:rPr>
          <w:rFonts w:ascii="Arial" w:hAnsi="Arial" w:cs="Arial"/>
        </w:rPr>
        <w:t>The median pay gap is the difference between the midpoints in the ranges of hourly earnings of men and women. It takes all salaries in the sample, lines them up in order from lowest to highest, and picks the middle-most salary.</w:t>
      </w:r>
    </w:p>
    <w:p w14:paraId="4715A705" w14:textId="77777777" w:rsidR="00A36588" w:rsidRDefault="00A36588" w:rsidP="00A36588">
      <w:pPr>
        <w:tabs>
          <w:tab w:val="left" w:pos="9552"/>
        </w:tabs>
        <w:rPr>
          <w:rFonts w:ascii="Arial" w:hAnsi="Arial" w:cs="Arial"/>
        </w:rPr>
      </w:pPr>
      <w:r w:rsidRPr="000E7424">
        <w:rPr>
          <w:rFonts w:ascii="Arial" w:hAnsi="Arial" w:cs="Arial"/>
        </w:rPr>
        <w:t xml:space="preserve">It is important to note that although this report includes the breakdown of pay grades by race, the scope is different to that of the Workforce Race Equality Standard (WRES).   While the WRES is based on a </w:t>
      </w:r>
    </w:p>
    <w:p w14:paraId="24B54555" w14:textId="77777777" w:rsidR="00A36588" w:rsidRDefault="00A36588" w:rsidP="00A36588">
      <w:pPr>
        <w:tabs>
          <w:tab w:val="left" w:pos="9552"/>
        </w:tabs>
        <w:rPr>
          <w:rFonts w:ascii="Arial" w:hAnsi="Arial" w:cs="Arial"/>
        </w:rPr>
      </w:pPr>
    </w:p>
    <w:p w14:paraId="5931918A" w14:textId="77777777" w:rsidR="00A36588" w:rsidRPr="000E7424" w:rsidRDefault="00A36588" w:rsidP="00A36588">
      <w:pPr>
        <w:tabs>
          <w:tab w:val="left" w:pos="9552"/>
        </w:tabs>
        <w:rPr>
          <w:rFonts w:ascii="Arial" w:hAnsi="Arial" w:cs="Arial"/>
        </w:rPr>
      </w:pPr>
      <w:proofErr w:type="gramStart"/>
      <w:r w:rsidRPr="000E7424">
        <w:rPr>
          <w:rFonts w:ascii="Arial" w:hAnsi="Arial" w:cs="Arial"/>
        </w:rPr>
        <w:t>snapshot</w:t>
      </w:r>
      <w:proofErr w:type="gramEnd"/>
      <w:r w:rsidRPr="000E7424">
        <w:rPr>
          <w:rFonts w:ascii="Arial" w:hAnsi="Arial" w:cs="Arial"/>
        </w:rPr>
        <w:t xml:space="preserve"> of one day (31 March), the data extracted for this report is based on the financial year (1 April – 31 March).  Therefore, as it includes paid substantive assignments and bonuses within that period, the total number of staff in this report will be different to that in the WRES.   </w:t>
      </w:r>
    </w:p>
    <w:p w14:paraId="5DA935CB" w14:textId="77777777" w:rsidR="00A36588" w:rsidRPr="000E7424" w:rsidRDefault="00A36588" w:rsidP="00A36588">
      <w:pPr>
        <w:tabs>
          <w:tab w:val="left" w:pos="9552"/>
        </w:tabs>
        <w:rPr>
          <w:rFonts w:ascii="Arial" w:hAnsi="Arial" w:cs="Arial"/>
          <w:b/>
          <w:color w:val="005EB8"/>
          <w:sz w:val="28"/>
          <w:szCs w:val="28"/>
        </w:rPr>
      </w:pPr>
      <w:r w:rsidRPr="000E7424">
        <w:rPr>
          <w:rFonts w:ascii="Arial" w:hAnsi="Arial" w:cs="Arial"/>
          <w:b/>
          <w:color w:val="005EB8"/>
          <w:sz w:val="28"/>
          <w:szCs w:val="28"/>
        </w:rPr>
        <w:t>What is the gender bonus gap?</w:t>
      </w:r>
    </w:p>
    <w:p w14:paraId="3F81A4B5" w14:textId="77777777" w:rsidR="00A36588" w:rsidRPr="000E7424" w:rsidRDefault="00A36588" w:rsidP="00A36588">
      <w:pPr>
        <w:tabs>
          <w:tab w:val="left" w:pos="9552"/>
        </w:tabs>
        <w:rPr>
          <w:rFonts w:ascii="Arial" w:hAnsi="Arial" w:cs="Arial"/>
        </w:rPr>
      </w:pPr>
      <w:r w:rsidRPr="000E7424">
        <w:rPr>
          <w:rFonts w:ascii="Arial" w:hAnsi="Arial" w:cs="Arial"/>
        </w:rPr>
        <w:t>Within the gender pay gap regulations, ‘bonus pay’ means any remuneration that is the form of money relating to profit sharing, productivity, performance, incentive or commission.</w:t>
      </w:r>
    </w:p>
    <w:p w14:paraId="6B98862C" w14:textId="77777777" w:rsidR="00A36588" w:rsidRPr="000E7424" w:rsidRDefault="00A36588" w:rsidP="00A36588">
      <w:pPr>
        <w:tabs>
          <w:tab w:val="left" w:pos="9552"/>
        </w:tabs>
        <w:rPr>
          <w:rFonts w:ascii="Arial" w:hAnsi="Arial" w:cs="Arial"/>
        </w:rPr>
      </w:pPr>
      <w:r w:rsidRPr="000E7424">
        <w:rPr>
          <w:rFonts w:ascii="Arial" w:hAnsi="Arial" w:cs="Arial"/>
        </w:rPr>
        <w:t>It is clear within the regulations that bonus pay does not inc</w:t>
      </w:r>
      <w:r>
        <w:rPr>
          <w:rFonts w:ascii="Arial" w:hAnsi="Arial" w:cs="Arial"/>
        </w:rPr>
        <w:t>lude ordinary pay, overtime pay</w:t>
      </w:r>
      <w:r w:rsidRPr="000E7424">
        <w:rPr>
          <w:rFonts w:ascii="Arial" w:hAnsi="Arial" w:cs="Arial"/>
        </w:rPr>
        <w:t xml:space="preserve"> and redundancy pay or termination payments.</w:t>
      </w:r>
    </w:p>
    <w:p w14:paraId="55603EB1" w14:textId="77777777" w:rsidR="00A36588" w:rsidRPr="000E7424" w:rsidRDefault="00A36588" w:rsidP="00A36588">
      <w:pPr>
        <w:tabs>
          <w:tab w:val="left" w:pos="9552"/>
        </w:tabs>
        <w:rPr>
          <w:rFonts w:ascii="Arial" w:hAnsi="Arial" w:cs="Arial"/>
        </w:rPr>
      </w:pPr>
      <w:bookmarkStart w:id="0" w:name="_Int_nKWU5l1L"/>
      <w:r w:rsidRPr="000E7424">
        <w:rPr>
          <w:rFonts w:ascii="Arial" w:hAnsi="Arial" w:cs="Arial"/>
        </w:rPr>
        <w:t>For the purpose of</w:t>
      </w:r>
      <w:bookmarkEnd w:id="0"/>
      <w:r w:rsidRPr="000E7424">
        <w:rPr>
          <w:rFonts w:ascii="Arial" w:hAnsi="Arial" w:cs="Arial"/>
        </w:rPr>
        <w:t xml:space="preserve"> gender pay reporting, </w:t>
      </w:r>
      <w:r>
        <w:rPr>
          <w:rFonts w:ascii="Arial" w:hAnsi="Arial" w:cs="Arial"/>
        </w:rPr>
        <w:t>‘</w:t>
      </w:r>
      <w:r w:rsidRPr="000E7424">
        <w:rPr>
          <w:rFonts w:ascii="Arial" w:hAnsi="Arial" w:cs="Arial"/>
        </w:rPr>
        <w:t>Clinical Excellence Awards</w:t>
      </w:r>
      <w:r>
        <w:rPr>
          <w:rFonts w:ascii="Arial" w:hAnsi="Arial" w:cs="Arial"/>
        </w:rPr>
        <w:t>’</w:t>
      </w:r>
      <w:r w:rsidRPr="000E7424">
        <w:rPr>
          <w:rFonts w:ascii="Arial" w:hAnsi="Arial" w:cs="Arial"/>
        </w:rPr>
        <w:t xml:space="preserve"> payments are regarded as ‘bonus pay’.  The Clinical Excellence Awards (CEA) scheme is intended to recognise and reward those consultants who perform ‘over and above’ the standard expected for their role. Awards are given for quality and excellence, acknowledging exceptional personal contributions towards the delivery of safe and </w:t>
      </w:r>
      <w:bookmarkStart w:id="1" w:name="_Int_RzuCPz9l"/>
      <w:r w:rsidRPr="000E7424">
        <w:rPr>
          <w:rFonts w:ascii="Arial" w:hAnsi="Arial" w:cs="Arial"/>
        </w:rPr>
        <w:t>high quality</w:t>
      </w:r>
      <w:bookmarkEnd w:id="1"/>
      <w:r w:rsidRPr="000E7424">
        <w:rPr>
          <w:rFonts w:ascii="Arial" w:hAnsi="Arial" w:cs="Arial"/>
        </w:rPr>
        <w:t xml:space="preserve"> care to patients and to the continuous improvement of NHS services.</w:t>
      </w:r>
    </w:p>
    <w:p w14:paraId="6851FE1D" w14:textId="77777777" w:rsidR="00A36588" w:rsidRPr="000E7424" w:rsidRDefault="00A36588" w:rsidP="00A36588">
      <w:pPr>
        <w:tabs>
          <w:tab w:val="left" w:pos="9552"/>
        </w:tabs>
        <w:rPr>
          <w:rFonts w:ascii="Arial" w:hAnsi="Arial" w:cs="Arial"/>
        </w:rPr>
      </w:pPr>
      <w:r w:rsidRPr="000E7424">
        <w:rPr>
          <w:rFonts w:ascii="Arial" w:hAnsi="Arial" w:cs="Arial"/>
        </w:rPr>
        <w:t>There are 12 Levels of award with monetary value. Levels 1-9 are awarded locally (employer-based awards) and Levels 10-12 (silver, gold and platinum hereafter) are awarded nationally in accordance with assessment criteria and application.</w:t>
      </w:r>
    </w:p>
    <w:p w14:paraId="2C8E9B5E" w14:textId="77777777" w:rsidR="00A36588" w:rsidRPr="000E7424" w:rsidRDefault="00A36588" w:rsidP="00A36588">
      <w:pPr>
        <w:tabs>
          <w:tab w:val="left" w:pos="9552"/>
        </w:tabs>
        <w:rPr>
          <w:rFonts w:ascii="Arial" w:hAnsi="Arial" w:cs="Arial"/>
        </w:rPr>
      </w:pPr>
      <w:r w:rsidRPr="000E7424">
        <w:rPr>
          <w:rFonts w:ascii="Arial" w:hAnsi="Arial" w:cs="Arial"/>
        </w:rPr>
        <w:t>Consultants with an existing distinction award or discretionary points retain them, subject to existing review provisions, and are eligible to apply for awards under the new scheme in the normal way.</w:t>
      </w:r>
    </w:p>
    <w:p w14:paraId="75EB3026" w14:textId="77777777" w:rsidR="00A36588" w:rsidRDefault="00A36588" w:rsidP="00A36588">
      <w:pPr>
        <w:tabs>
          <w:tab w:val="left" w:pos="9552"/>
        </w:tabs>
        <w:rPr>
          <w:rFonts w:ascii="Arial" w:hAnsi="Arial" w:cs="Arial"/>
        </w:rPr>
      </w:pPr>
      <w:r w:rsidRPr="000E7424">
        <w:rPr>
          <w:rFonts w:ascii="Arial" w:hAnsi="Arial" w:cs="Arial"/>
        </w:rPr>
        <w:t>Accordingly, the legacy of the CEA scheme means that there will continue to be a gender pay gap because there are more male consultants than female consultants and the gender balance is only likely to improve over time (see above, and medical workforce and CEA breakdown below).</w:t>
      </w:r>
    </w:p>
    <w:p w14:paraId="5AA31B30" w14:textId="77777777" w:rsidR="00A36588" w:rsidRPr="000E7424" w:rsidRDefault="00A36588" w:rsidP="00A36588">
      <w:pPr>
        <w:tabs>
          <w:tab w:val="left" w:pos="9552"/>
        </w:tabs>
        <w:rPr>
          <w:rFonts w:ascii="Arial" w:hAnsi="Arial" w:cs="Arial"/>
          <w:b/>
          <w:color w:val="005EB8"/>
          <w:sz w:val="28"/>
          <w:szCs w:val="28"/>
        </w:rPr>
      </w:pPr>
      <w:r w:rsidRPr="000E7424">
        <w:rPr>
          <w:rFonts w:ascii="Arial" w:hAnsi="Arial" w:cs="Arial"/>
          <w:b/>
          <w:color w:val="005EB8"/>
          <w:sz w:val="28"/>
          <w:szCs w:val="28"/>
        </w:rPr>
        <w:t>EPUT’s gender pay gap</w:t>
      </w:r>
    </w:p>
    <w:p w14:paraId="3E56E42B" w14:textId="77777777" w:rsidR="00A36588" w:rsidRPr="000E7424" w:rsidRDefault="00A36588" w:rsidP="00A36588">
      <w:pPr>
        <w:tabs>
          <w:tab w:val="left" w:pos="9552"/>
        </w:tabs>
        <w:rPr>
          <w:rFonts w:ascii="Arial" w:hAnsi="Arial" w:cs="Arial"/>
        </w:rPr>
      </w:pPr>
      <w:r w:rsidRPr="000E7424">
        <w:rPr>
          <w:rFonts w:ascii="Arial" w:hAnsi="Arial" w:cs="Arial"/>
        </w:rPr>
        <w:t>The following gender pay gap report data is taken as the snapshot date of 31 March 2023.</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5"/>
        <w:gridCol w:w="5832"/>
        <w:gridCol w:w="1410"/>
      </w:tblGrid>
      <w:tr w:rsidR="00A36588" w:rsidRPr="000E7424" w14:paraId="765E205E" w14:textId="77777777" w:rsidTr="00181181">
        <w:trPr>
          <w:trHeight w:val="412"/>
        </w:trPr>
        <w:tc>
          <w:tcPr>
            <w:tcW w:w="705" w:type="dxa"/>
          </w:tcPr>
          <w:p w14:paraId="267C1665" w14:textId="77777777" w:rsidR="00A36588" w:rsidRPr="000E7424" w:rsidRDefault="00A36588" w:rsidP="00181181">
            <w:pPr>
              <w:tabs>
                <w:tab w:val="left" w:pos="9552"/>
              </w:tabs>
              <w:rPr>
                <w:rFonts w:ascii="Arial" w:hAnsi="Arial" w:cs="Arial"/>
              </w:rPr>
            </w:pPr>
            <w:r w:rsidRPr="000E7424">
              <w:rPr>
                <w:rFonts w:ascii="Arial" w:hAnsi="Arial" w:cs="Arial"/>
              </w:rPr>
              <w:t>1.</w:t>
            </w:r>
          </w:p>
        </w:tc>
        <w:tc>
          <w:tcPr>
            <w:tcW w:w="5832" w:type="dxa"/>
          </w:tcPr>
          <w:p w14:paraId="0173F331" w14:textId="77777777" w:rsidR="00A36588" w:rsidRPr="000E7424" w:rsidRDefault="00A36588" w:rsidP="00181181">
            <w:pPr>
              <w:tabs>
                <w:tab w:val="left" w:pos="9552"/>
              </w:tabs>
              <w:rPr>
                <w:rFonts w:ascii="Arial" w:hAnsi="Arial" w:cs="Arial"/>
              </w:rPr>
            </w:pPr>
            <w:r w:rsidRPr="000E7424">
              <w:rPr>
                <w:rFonts w:ascii="Arial" w:hAnsi="Arial" w:cs="Arial"/>
              </w:rPr>
              <w:t>The mean gender pay gap for EPUT</w:t>
            </w:r>
          </w:p>
        </w:tc>
        <w:tc>
          <w:tcPr>
            <w:tcW w:w="1410" w:type="dxa"/>
          </w:tcPr>
          <w:p w14:paraId="584551C0" w14:textId="77777777" w:rsidR="00A36588" w:rsidRPr="0081337E" w:rsidRDefault="00A36588" w:rsidP="00181181">
            <w:pPr>
              <w:tabs>
                <w:tab w:val="left" w:pos="9552"/>
              </w:tabs>
              <w:rPr>
                <w:rFonts w:ascii="Arial" w:hAnsi="Arial" w:cs="Arial"/>
                <w:b/>
              </w:rPr>
            </w:pPr>
            <w:r w:rsidRPr="0081337E">
              <w:rPr>
                <w:rFonts w:ascii="Arial" w:hAnsi="Arial" w:cs="Arial"/>
                <w:b/>
              </w:rPr>
              <w:t>12.93%</w:t>
            </w:r>
          </w:p>
        </w:tc>
      </w:tr>
      <w:tr w:rsidR="00A36588" w:rsidRPr="000E7424" w14:paraId="5D4DC94D" w14:textId="77777777" w:rsidTr="00181181">
        <w:trPr>
          <w:trHeight w:val="412"/>
        </w:trPr>
        <w:tc>
          <w:tcPr>
            <w:tcW w:w="705" w:type="dxa"/>
          </w:tcPr>
          <w:p w14:paraId="140CB7DA" w14:textId="77777777" w:rsidR="00A36588" w:rsidRPr="000E7424" w:rsidRDefault="00A36588" w:rsidP="00181181">
            <w:pPr>
              <w:tabs>
                <w:tab w:val="left" w:pos="9552"/>
              </w:tabs>
              <w:rPr>
                <w:rFonts w:ascii="Arial" w:hAnsi="Arial" w:cs="Arial"/>
              </w:rPr>
            </w:pPr>
            <w:r w:rsidRPr="000E7424">
              <w:rPr>
                <w:rFonts w:ascii="Arial" w:hAnsi="Arial" w:cs="Arial"/>
              </w:rPr>
              <w:t>2.</w:t>
            </w:r>
          </w:p>
        </w:tc>
        <w:tc>
          <w:tcPr>
            <w:tcW w:w="5832" w:type="dxa"/>
          </w:tcPr>
          <w:p w14:paraId="46F5E9DB" w14:textId="77777777" w:rsidR="00A36588" w:rsidRPr="000E7424" w:rsidRDefault="00A36588" w:rsidP="00181181">
            <w:pPr>
              <w:tabs>
                <w:tab w:val="left" w:pos="9552"/>
              </w:tabs>
              <w:rPr>
                <w:rFonts w:ascii="Arial" w:hAnsi="Arial" w:cs="Arial"/>
              </w:rPr>
            </w:pPr>
            <w:r w:rsidRPr="000E7424">
              <w:rPr>
                <w:rFonts w:ascii="Arial" w:hAnsi="Arial" w:cs="Arial"/>
              </w:rPr>
              <w:t>The median gender pay gap for EPUT</w:t>
            </w:r>
          </w:p>
        </w:tc>
        <w:tc>
          <w:tcPr>
            <w:tcW w:w="1410" w:type="dxa"/>
          </w:tcPr>
          <w:p w14:paraId="63195138" w14:textId="77777777" w:rsidR="00A36588" w:rsidRPr="0081337E" w:rsidRDefault="00A36588" w:rsidP="00181181">
            <w:pPr>
              <w:tabs>
                <w:tab w:val="left" w:pos="9552"/>
              </w:tabs>
              <w:rPr>
                <w:rFonts w:ascii="Arial" w:hAnsi="Arial" w:cs="Arial"/>
                <w:b/>
              </w:rPr>
            </w:pPr>
            <w:r w:rsidRPr="0081337E">
              <w:rPr>
                <w:rFonts w:ascii="Arial" w:hAnsi="Arial" w:cs="Arial"/>
                <w:b/>
              </w:rPr>
              <w:t>7.31%</w:t>
            </w:r>
          </w:p>
        </w:tc>
      </w:tr>
      <w:tr w:rsidR="00A36588" w:rsidRPr="000E7424" w14:paraId="5A8F2B67" w14:textId="77777777" w:rsidTr="00181181">
        <w:trPr>
          <w:trHeight w:val="412"/>
        </w:trPr>
        <w:tc>
          <w:tcPr>
            <w:tcW w:w="705" w:type="dxa"/>
          </w:tcPr>
          <w:p w14:paraId="0C3087C3" w14:textId="77777777" w:rsidR="00A36588" w:rsidRPr="000E7424" w:rsidRDefault="00A36588" w:rsidP="00181181">
            <w:pPr>
              <w:tabs>
                <w:tab w:val="left" w:pos="9552"/>
              </w:tabs>
              <w:rPr>
                <w:rFonts w:ascii="Arial" w:hAnsi="Arial" w:cs="Arial"/>
              </w:rPr>
            </w:pPr>
            <w:r w:rsidRPr="000E7424">
              <w:rPr>
                <w:rFonts w:ascii="Arial" w:hAnsi="Arial" w:cs="Arial"/>
              </w:rPr>
              <w:t>3.</w:t>
            </w:r>
          </w:p>
        </w:tc>
        <w:tc>
          <w:tcPr>
            <w:tcW w:w="5832" w:type="dxa"/>
          </w:tcPr>
          <w:p w14:paraId="3CD4EFD3" w14:textId="77777777" w:rsidR="00A36588" w:rsidRPr="000E7424" w:rsidRDefault="00A36588" w:rsidP="00181181">
            <w:pPr>
              <w:tabs>
                <w:tab w:val="left" w:pos="9552"/>
              </w:tabs>
              <w:rPr>
                <w:rFonts w:ascii="Arial" w:hAnsi="Arial" w:cs="Arial"/>
              </w:rPr>
            </w:pPr>
            <w:r w:rsidRPr="000E7424">
              <w:rPr>
                <w:rFonts w:ascii="Arial" w:hAnsi="Arial" w:cs="Arial"/>
              </w:rPr>
              <w:t>The mean gender bonus* gap for EPUT</w:t>
            </w:r>
          </w:p>
        </w:tc>
        <w:tc>
          <w:tcPr>
            <w:tcW w:w="1410" w:type="dxa"/>
          </w:tcPr>
          <w:p w14:paraId="50013D08" w14:textId="77777777" w:rsidR="00A36588" w:rsidRPr="0081337E" w:rsidRDefault="00A36588" w:rsidP="00181181">
            <w:pPr>
              <w:tabs>
                <w:tab w:val="left" w:pos="9552"/>
              </w:tabs>
              <w:rPr>
                <w:rFonts w:ascii="Arial" w:hAnsi="Arial" w:cs="Arial"/>
                <w:b/>
              </w:rPr>
            </w:pPr>
            <w:r w:rsidRPr="0081337E">
              <w:rPr>
                <w:rFonts w:ascii="Arial" w:hAnsi="Arial" w:cs="Arial"/>
                <w:b/>
              </w:rPr>
              <w:t>56.01%</w:t>
            </w:r>
          </w:p>
        </w:tc>
      </w:tr>
      <w:tr w:rsidR="00A36588" w:rsidRPr="000E7424" w14:paraId="1A8AEFB6" w14:textId="77777777" w:rsidTr="00181181">
        <w:trPr>
          <w:trHeight w:val="396"/>
        </w:trPr>
        <w:tc>
          <w:tcPr>
            <w:tcW w:w="705" w:type="dxa"/>
          </w:tcPr>
          <w:p w14:paraId="418103E8" w14:textId="77777777" w:rsidR="00A36588" w:rsidRPr="000E7424" w:rsidRDefault="00A36588" w:rsidP="00181181">
            <w:pPr>
              <w:tabs>
                <w:tab w:val="left" w:pos="9552"/>
              </w:tabs>
              <w:rPr>
                <w:rFonts w:ascii="Arial" w:hAnsi="Arial" w:cs="Arial"/>
              </w:rPr>
            </w:pPr>
            <w:r w:rsidRPr="000E7424">
              <w:rPr>
                <w:rFonts w:ascii="Arial" w:hAnsi="Arial" w:cs="Arial"/>
              </w:rPr>
              <w:t>4.</w:t>
            </w:r>
          </w:p>
        </w:tc>
        <w:tc>
          <w:tcPr>
            <w:tcW w:w="5832" w:type="dxa"/>
          </w:tcPr>
          <w:p w14:paraId="0D7FADEE" w14:textId="77777777" w:rsidR="00A36588" w:rsidRPr="000E7424" w:rsidRDefault="00A36588" w:rsidP="00181181">
            <w:pPr>
              <w:tabs>
                <w:tab w:val="left" w:pos="9552"/>
              </w:tabs>
              <w:rPr>
                <w:rFonts w:ascii="Arial" w:hAnsi="Arial" w:cs="Arial"/>
              </w:rPr>
            </w:pPr>
            <w:r w:rsidRPr="000E7424">
              <w:rPr>
                <w:rFonts w:ascii="Arial" w:hAnsi="Arial" w:cs="Arial"/>
              </w:rPr>
              <w:t>The median gender bonus* gap for EPUT</w:t>
            </w:r>
          </w:p>
        </w:tc>
        <w:tc>
          <w:tcPr>
            <w:tcW w:w="1410" w:type="dxa"/>
          </w:tcPr>
          <w:p w14:paraId="76404459" w14:textId="77777777" w:rsidR="00A36588" w:rsidRPr="0081337E" w:rsidRDefault="00A36588" w:rsidP="00181181">
            <w:pPr>
              <w:tabs>
                <w:tab w:val="left" w:pos="9552"/>
              </w:tabs>
              <w:rPr>
                <w:rFonts w:ascii="Arial" w:hAnsi="Arial" w:cs="Arial"/>
                <w:b/>
              </w:rPr>
            </w:pPr>
            <w:r w:rsidRPr="0081337E">
              <w:rPr>
                <w:rFonts w:ascii="Arial" w:hAnsi="Arial" w:cs="Arial"/>
                <w:b/>
              </w:rPr>
              <w:t>66.84%</w:t>
            </w:r>
          </w:p>
        </w:tc>
      </w:tr>
    </w:tbl>
    <w:p w14:paraId="5F1AE9D0" w14:textId="77777777" w:rsidR="00A36588" w:rsidRPr="000E7424" w:rsidRDefault="00A36588" w:rsidP="00A36588">
      <w:pPr>
        <w:tabs>
          <w:tab w:val="left" w:pos="9552"/>
        </w:tabs>
        <w:rPr>
          <w:rFonts w:ascii="Arial" w:hAnsi="Arial" w:cs="Arial"/>
        </w:rPr>
      </w:pPr>
    </w:p>
    <w:p w14:paraId="2688C275" w14:textId="77777777" w:rsidR="00A36588" w:rsidRPr="000E7424" w:rsidRDefault="00A36588" w:rsidP="00A36588">
      <w:pPr>
        <w:tabs>
          <w:tab w:val="left" w:pos="9552"/>
        </w:tabs>
        <w:rPr>
          <w:rFonts w:ascii="Arial" w:hAnsi="Arial" w:cs="Arial"/>
        </w:rPr>
      </w:pPr>
      <w:r w:rsidRPr="000E7424">
        <w:rPr>
          <w:rFonts w:ascii="Arial" w:hAnsi="Arial" w:cs="Arial"/>
        </w:rPr>
        <w:t>* Please see comments later in this report explaining what constitutes a bonus</w:t>
      </w:r>
      <w:r>
        <w:rPr>
          <w:rFonts w:ascii="Arial" w:hAnsi="Arial" w:cs="Arial"/>
        </w:rPr>
        <w:t>.</w:t>
      </w:r>
    </w:p>
    <w:p w14:paraId="6798B993" w14:textId="77777777" w:rsidR="00A36588" w:rsidRDefault="00A36588" w:rsidP="00A36588">
      <w:pPr>
        <w:tabs>
          <w:tab w:val="left" w:pos="9552"/>
        </w:tabs>
        <w:rPr>
          <w:rFonts w:ascii="Arial" w:hAnsi="Arial" w:cs="Arial"/>
          <w:b/>
          <w:bCs/>
          <w:color w:val="005EB8"/>
          <w:sz w:val="28"/>
          <w:szCs w:val="28"/>
        </w:rPr>
      </w:pPr>
    </w:p>
    <w:p w14:paraId="691429A5" w14:textId="77777777" w:rsidR="00A36588" w:rsidRDefault="00A36588" w:rsidP="00A36588">
      <w:pPr>
        <w:tabs>
          <w:tab w:val="left" w:pos="9552"/>
        </w:tabs>
        <w:rPr>
          <w:rFonts w:ascii="Arial" w:hAnsi="Arial" w:cs="Arial"/>
          <w:b/>
          <w:bCs/>
          <w:color w:val="005EB8"/>
          <w:sz w:val="28"/>
          <w:szCs w:val="28"/>
        </w:rPr>
      </w:pPr>
    </w:p>
    <w:p w14:paraId="458E98B3" w14:textId="77777777" w:rsidR="00A36588" w:rsidRDefault="00A36588" w:rsidP="00A36588">
      <w:pPr>
        <w:tabs>
          <w:tab w:val="left" w:pos="9552"/>
        </w:tabs>
        <w:rPr>
          <w:rFonts w:ascii="Arial" w:hAnsi="Arial" w:cs="Arial"/>
          <w:b/>
          <w:bCs/>
          <w:color w:val="005EB8"/>
          <w:sz w:val="28"/>
          <w:szCs w:val="28"/>
        </w:rPr>
      </w:pPr>
    </w:p>
    <w:p w14:paraId="0A84EB3D" w14:textId="77777777" w:rsidR="00A36588" w:rsidRDefault="00A36588" w:rsidP="00A36588">
      <w:pPr>
        <w:tabs>
          <w:tab w:val="left" w:pos="9552"/>
        </w:tabs>
        <w:rPr>
          <w:rFonts w:ascii="Arial" w:hAnsi="Arial" w:cs="Arial"/>
          <w:b/>
          <w:bCs/>
          <w:color w:val="005EB8"/>
          <w:sz w:val="28"/>
          <w:szCs w:val="28"/>
        </w:rPr>
      </w:pPr>
    </w:p>
    <w:p w14:paraId="28413F54" w14:textId="77777777" w:rsidR="00A36588" w:rsidRDefault="00A36588" w:rsidP="00A36588">
      <w:pPr>
        <w:tabs>
          <w:tab w:val="left" w:pos="9552"/>
        </w:tabs>
        <w:rPr>
          <w:rFonts w:ascii="Arial" w:hAnsi="Arial" w:cs="Arial"/>
          <w:b/>
          <w:bCs/>
          <w:color w:val="005EB8"/>
          <w:sz w:val="28"/>
          <w:szCs w:val="28"/>
        </w:rPr>
      </w:pPr>
    </w:p>
    <w:p w14:paraId="6A274DE2" w14:textId="77777777" w:rsidR="00A36588" w:rsidRDefault="00A36588" w:rsidP="00A36588">
      <w:pPr>
        <w:tabs>
          <w:tab w:val="left" w:pos="9552"/>
        </w:tabs>
        <w:spacing w:after="0"/>
        <w:rPr>
          <w:rFonts w:ascii="Arial" w:hAnsi="Arial" w:cs="Arial"/>
          <w:b/>
          <w:bCs/>
          <w:color w:val="005EB8"/>
          <w:sz w:val="28"/>
          <w:szCs w:val="28"/>
        </w:rPr>
      </w:pPr>
    </w:p>
    <w:p w14:paraId="00E3C52D" w14:textId="77777777" w:rsidR="00A36588" w:rsidRPr="000E7424" w:rsidRDefault="00A36588" w:rsidP="00A36588">
      <w:pPr>
        <w:tabs>
          <w:tab w:val="left" w:pos="9552"/>
        </w:tabs>
        <w:rPr>
          <w:rFonts w:ascii="Arial" w:hAnsi="Arial" w:cs="Arial"/>
          <w:b/>
          <w:bCs/>
          <w:color w:val="005EB8"/>
          <w:sz w:val="28"/>
          <w:szCs w:val="28"/>
        </w:rPr>
      </w:pPr>
      <w:r w:rsidRPr="000E7424">
        <w:rPr>
          <w:rFonts w:ascii="Arial" w:hAnsi="Arial" w:cs="Arial"/>
          <w:b/>
          <w:bCs/>
          <w:color w:val="005EB8"/>
          <w:sz w:val="28"/>
          <w:szCs w:val="28"/>
        </w:rPr>
        <w:t>Pay quartiles by gender</w:t>
      </w:r>
    </w:p>
    <w:tbl>
      <w:tblPr>
        <w:tblpPr w:leftFromText="180" w:rightFromText="180" w:vertAnchor="text" w:horzAnchor="margin" w:tblpY="264"/>
        <w:tblW w:w="9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4"/>
        <w:gridCol w:w="1410"/>
        <w:gridCol w:w="1426"/>
        <w:gridCol w:w="1137"/>
        <w:gridCol w:w="1137"/>
        <w:gridCol w:w="2979"/>
      </w:tblGrid>
      <w:tr w:rsidR="00A36588" w:rsidRPr="000E7424" w14:paraId="6599D993" w14:textId="77777777" w:rsidTr="00181181">
        <w:trPr>
          <w:trHeight w:val="508"/>
        </w:trPr>
        <w:tc>
          <w:tcPr>
            <w:tcW w:w="1154" w:type="dxa"/>
            <w:shd w:val="clear" w:color="auto" w:fill="D9D9D9" w:themeFill="background1" w:themeFillShade="D9"/>
          </w:tcPr>
          <w:p w14:paraId="3D0FFC4E" w14:textId="77777777" w:rsidR="00A36588" w:rsidRPr="000E7424" w:rsidRDefault="00A36588" w:rsidP="00181181">
            <w:pPr>
              <w:tabs>
                <w:tab w:val="left" w:pos="9552"/>
              </w:tabs>
              <w:rPr>
                <w:rFonts w:ascii="Arial" w:hAnsi="Arial" w:cs="Arial"/>
              </w:rPr>
            </w:pPr>
          </w:p>
          <w:p w14:paraId="294F1594" w14:textId="77777777" w:rsidR="00A36588" w:rsidRPr="000E7424" w:rsidRDefault="00A36588" w:rsidP="00181181">
            <w:pPr>
              <w:tabs>
                <w:tab w:val="left" w:pos="9552"/>
              </w:tabs>
              <w:rPr>
                <w:rFonts w:ascii="Arial" w:hAnsi="Arial" w:cs="Arial"/>
              </w:rPr>
            </w:pPr>
            <w:r w:rsidRPr="000E7424">
              <w:rPr>
                <w:rFonts w:ascii="Arial" w:hAnsi="Arial" w:cs="Arial"/>
              </w:rPr>
              <w:t>Quartile</w:t>
            </w:r>
          </w:p>
        </w:tc>
        <w:tc>
          <w:tcPr>
            <w:tcW w:w="1410" w:type="dxa"/>
            <w:shd w:val="clear" w:color="auto" w:fill="D9D9D9" w:themeFill="background1" w:themeFillShade="D9"/>
          </w:tcPr>
          <w:p w14:paraId="59FB9A84" w14:textId="77777777" w:rsidR="00A36588" w:rsidRPr="000E7424" w:rsidRDefault="00A36588" w:rsidP="00181181">
            <w:pPr>
              <w:tabs>
                <w:tab w:val="left" w:pos="9552"/>
              </w:tabs>
              <w:rPr>
                <w:rFonts w:ascii="Arial" w:hAnsi="Arial" w:cs="Arial"/>
              </w:rPr>
            </w:pPr>
            <w:r w:rsidRPr="000E7424">
              <w:rPr>
                <w:rFonts w:ascii="Arial" w:hAnsi="Arial" w:cs="Arial"/>
              </w:rPr>
              <w:t>Female Headcount</w:t>
            </w:r>
          </w:p>
        </w:tc>
        <w:tc>
          <w:tcPr>
            <w:tcW w:w="1426" w:type="dxa"/>
            <w:shd w:val="clear" w:color="auto" w:fill="D9D9D9" w:themeFill="background1" w:themeFillShade="D9"/>
          </w:tcPr>
          <w:p w14:paraId="2463AC4C" w14:textId="77777777" w:rsidR="00A36588" w:rsidRPr="000E7424" w:rsidRDefault="00A36588" w:rsidP="00181181">
            <w:pPr>
              <w:tabs>
                <w:tab w:val="left" w:pos="9552"/>
              </w:tabs>
              <w:rPr>
                <w:rFonts w:ascii="Arial" w:hAnsi="Arial" w:cs="Arial"/>
              </w:rPr>
            </w:pPr>
            <w:r w:rsidRPr="000E7424">
              <w:rPr>
                <w:rFonts w:ascii="Arial" w:hAnsi="Arial" w:cs="Arial"/>
              </w:rPr>
              <w:t>Male Headcount</w:t>
            </w:r>
          </w:p>
        </w:tc>
        <w:tc>
          <w:tcPr>
            <w:tcW w:w="1137" w:type="dxa"/>
            <w:shd w:val="clear" w:color="auto" w:fill="D9D9D9" w:themeFill="background1" w:themeFillShade="D9"/>
          </w:tcPr>
          <w:p w14:paraId="1ED59A21" w14:textId="77777777" w:rsidR="00A36588" w:rsidRPr="0081337E" w:rsidRDefault="00A36588" w:rsidP="00181181">
            <w:pPr>
              <w:tabs>
                <w:tab w:val="left" w:pos="9552"/>
              </w:tabs>
              <w:rPr>
                <w:rFonts w:ascii="Arial" w:hAnsi="Arial" w:cs="Arial"/>
                <w:b/>
              </w:rPr>
            </w:pPr>
            <w:r w:rsidRPr="0081337E">
              <w:rPr>
                <w:rFonts w:ascii="Arial" w:hAnsi="Arial" w:cs="Arial"/>
                <w:b/>
              </w:rPr>
              <w:t>Female</w:t>
            </w:r>
          </w:p>
          <w:p w14:paraId="0386B883" w14:textId="77777777" w:rsidR="00A36588" w:rsidRPr="0081337E" w:rsidRDefault="00A36588" w:rsidP="00181181">
            <w:pPr>
              <w:tabs>
                <w:tab w:val="left" w:pos="9552"/>
              </w:tabs>
              <w:rPr>
                <w:rFonts w:ascii="Arial" w:hAnsi="Arial" w:cs="Arial"/>
                <w:b/>
              </w:rPr>
            </w:pPr>
            <w:r w:rsidRPr="0081337E">
              <w:rPr>
                <w:rFonts w:ascii="Arial" w:hAnsi="Arial" w:cs="Arial"/>
                <w:b/>
              </w:rPr>
              <w:t>%</w:t>
            </w:r>
          </w:p>
        </w:tc>
        <w:tc>
          <w:tcPr>
            <w:tcW w:w="1137" w:type="dxa"/>
            <w:shd w:val="clear" w:color="auto" w:fill="D9D9D9" w:themeFill="background1" w:themeFillShade="D9"/>
          </w:tcPr>
          <w:p w14:paraId="626128DE" w14:textId="77777777" w:rsidR="00A36588" w:rsidRPr="0081337E" w:rsidRDefault="00A36588" w:rsidP="00181181">
            <w:pPr>
              <w:tabs>
                <w:tab w:val="left" w:pos="9552"/>
              </w:tabs>
              <w:rPr>
                <w:rFonts w:ascii="Arial" w:hAnsi="Arial" w:cs="Arial"/>
                <w:b/>
              </w:rPr>
            </w:pPr>
            <w:r w:rsidRPr="0081337E">
              <w:rPr>
                <w:rFonts w:ascii="Arial" w:hAnsi="Arial" w:cs="Arial"/>
                <w:b/>
              </w:rPr>
              <w:t>Male</w:t>
            </w:r>
          </w:p>
          <w:p w14:paraId="4469BE17" w14:textId="77777777" w:rsidR="00A36588" w:rsidRPr="0081337E" w:rsidRDefault="00A36588" w:rsidP="00181181">
            <w:pPr>
              <w:tabs>
                <w:tab w:val="left" w:pos="9552"/>
              </w:tabs>
              <w:rPr>
                <w:rFonts w:ascii="Arial" w:hAnsi="Arial" w:cs="Arial"/>
                <w:b/>
              </w:rPr>
            </w:pPr>
            <w:r w:rsidRPr="0081337E">
              <w:rPr>
                <w:rFonts w:ascii="Arial" w:hAnsi="Arial" w:cs="Arial"/>
                <w:b/>
              </w:rPr>
              <w:t>%</w:t>
            </w:r>
          </w:p>
        </w:tc>
        <w:tc>
          <w:tcPr>
            <w:tcW w:w="2979" w:type="dxa"/>
            <w:shd w:val="clear" w:color="auto" w:fill="D9D9D9" w:themeFill="background1" w:themeFillShade="D9"/>
          </w:tcPr>
          <w:p w14:paraId="27AE5259" w14:textId="77777777" w:rsidR="00A36588" w:rsidRPr="000E7424" w:rsidRDefault="00A36588" w:rsidP="00181181">
            <w:pPr>
              <w:tabs>
                <w:tab w:val="left" w:pos="9552"/>
              </w:tabs>
              <w:rPr>
                <w:rFonts w:ascii="Arial" w:hAnsi="Arial" w:cs="Arial"/>
              </w:rPr>
            </w:pPr>
            <w:r w:rsidRPr="000E7424">
              <w:rPr>
                <w:rFonts w:ascii="Arial" w:hAnsi="Arial" w:cs="Arial"/>
              </w:rPr>
              <w:t>Description</w:t>
            </w:r>
          </w:p>
        </w:tc>
      </w:tr>
      <w:tr w:rsidR="00A36588" w:rsidRPr="000E7424" w14:paraId="2667C00B" w14:textId="77777777" w:rsidTr="00181181">
        <w:trPr>
          <w:trHeight w:val="1080"/>
        </w:trPr>
        <w:tc>
          <w:tcPr>
            <w:tcW w:w="1154" w:type="dxa"/>
          </w:tcPr>
          <w:p w14:paraId="5A3CD3E9" w14:textId="77777777" w:rsidR="00A36588" w:rsidRPr="000E7424" w:rsidRDefault="00A36588" w:rsidP="00181181">
            <w:pPr>
              <w:tabs>
                <w:tab w:val="left" w:pos="9552"/>
              </w:tabs>
              <w:rPr>
                <w:rFonts w:ascii="Arial" w:hAnsi="Arial" w:cs="Arial"/>
              </w:rPr>
            </w:pPr>
            <w:r w:rsidRPr="000E7424">
              <w:rPr>
                <w:rFonts w:ascii="Arial" w:hAnsi="Arial" w:cs="Arial"/>
              </w:rPr>
              <w:t>1</w:t>
            </w:r>
          </w:p>
          <w:p w14:paraId="6A9A86FB" w14:textId="77777777" w:rsidR="00A36588" w:rsidRPr="000E7424" w:rsidRDefault="00A36588" w:rsidP="00181181">
            <w:pPr>
              <w:tabs>
                <w:tab w:val="left" w:pos="9552"/>
              </w:tabs>
              <w:rPr>
                <w:rFonts w:ascii="Arial" w:hAnsi="Arial" w:cs="Arial"/>
              </w:rPr>
            </w:pPr>
            <w:r w:rsidRPr="000E7424">
              <w:rPr>
                <w:rFonts w:ascii="Arial" w:hAnsi="Arial" w:cs="Arial"/>
              </w:rPr>
              <w:t>(lowest paid)</w:t>
            </w:r>
          </w:p>
        </w:tc>
        <w:tc>
          <w:tcPr>
            <w:tcW w:w="1410" w:type="dxa"/>
          </w:tcPr>
          <w:p w14:paraId="45393642" w14:textId="77777777" w:rsidR="00A36588" w:rsidRPr="000E7424" w:rsidRDefault="00A36588" w:rsidP="00181181">
            <w:pPr>
              <w:tabs>
                <w:tab w:val="left" w:pos="9552"/>
              </w:tabs>
              <w:rPr>
                <w:rFonts w:ascii="Arial" w:hAnsi="Arial" w:cs="Arial"/>
              </w:rPr>
            </w:pPr>
            <w:r w:rsidRPr="000E7424">
              <w:rPr>
                <w:rFonts w:ascii="Arial" w:hAnsi="Arial" w:cs="Arial"/>
              </w:rPr>
              <w:t>1431.00</w:t>
            </w:r>
          </w:p>
        </w:tc>
        <w:tc>
          <w:tcPr>
            <w:tcW w:w="1426" w:type="dxa"/>
          </w:tcPr>
          <w:p w14:paraId="3EE34B1B" w14:textId="77777777" w:rsidR="00A36588" w:rsidRPr="000E7424" w:rsidRDefault="00A36588" w:rsidP="00181181">
            <w:pPr>
              <w:tabs>
                <w:tab w:val="left" w:pos="9552"/>
              </w:tabs>
              <w:rPr>
                <w:rFonts w:ascii="Arial" w:hAnsi="Arial" w:cs="Arial"/>
              </w:rPr>
            </w:pPr>
            <w:r w:rsidRPr="000E7424">
              <w:rPr>
                <w:rFonts w:ascii="Arial" w:hAnsi="Arial" w:cs="Arial"/>
              </w:rPr>
              <w:t>333.00</w:t>
            </w:r>
          </w:p>
        </w:tc>
        <w:tc>
          <w:tcPr>
            <w:tcW w:w="1137" w:type="dxa"/>
          </w:tcPr>
          <w:p w14:paraId="30C52F70" w14:textId="77777777" w:rsidR="00A36588" w:rsidRPr="0081337E" w:rsidRDefault="00A36588" w:rsidP="00181181">
            <w:pPr>
              <w:tabs>
                <w:tab w:val="left" w:pos="9552"/>
              </w:tabs>
              <w:rPr>
                <w:rFonts w:ascii="Arial" w:hAnsi="Arial" w:cs="Arial"/>
                <w:b/>
              </w:rPr>
            </w:pPr>
            <w:r w:rsidRPr="0081337E">
              <w:rPr>
                <w:rFonts w:ascii="Arial" w:hAnsi="Arial" w:cs="Arial"/>
                <w:b/>
              </w:rPr>
              <w:t>81.12%</w:t>
            </w:r>
          </w:p>
        </w:tc>
        <w:tc>
          <w:tcPr>
            <w:tcW w:w="1137" w:type="dxa"/>
          </w:tcPr>
          <w:p w14:paraId="17B9B35B" w14:textId="77777777" w:rsidR="00A36588" w:rsidRPr="0081337E" w:rsidRDefault="00A36588" w:rsidP="00181181">
            <w:pPr>
              <w:tabs>
                <w:tab w:val="left" w:pos="9552"/>
              </w:tabs>
              <w:rPr>
                <w:rFonts w:ascii="Arial" w:hAnsi="Arial" w:cs="Arial"/>
                <w:b/>
              </w:rPr>
            </w:pPr>
            <w:r w:rsidRPr="0081337E">
              <w:rPr>
                <w:rFonts w:ascii="Arial" w:hAnsi="Arial" w:cs="Arial"/>
                <w:b/>
              </w:rPr>
              <w:t>18.88%</w:t>
            </w:r>
          </w:p>
        </w:tc>
        <w:tc>
          <w:tcPr>
            <w:tcW w:w="2979" w:type="dxa"/>
          </w:tcPr>
          <w:p w14:paraId="4A227177" w14:textId="77777777" w:rsidR="00A36588" w:rsidRPr="000E7424" w:rsidRDefault="00A36588" w:rsidP="00181181">
            <w:pPr>
              <w:tabs>
                <w:tab w:val="left" w:pos="9552"/>
              </w:tabs>
              <w:rPr>
                <w:rFonts w:ascii="Arial" w:hAnsi="Arial" w:cs="Arial"/>
              </w:rPr>
            </w:pPr>
            <w:r w:rsidRPr="000E7424">
              <w:rPr>
                <w:rFonts w:ascii="Arial" w:hAnsi="Arial" w:cs="Arial"/>
              </w:rPr>
              <w:t>Includes all employees</w:t>
            </w:r>
            <w:r>
              <w:rPr>
                <w:rFonts w:ascii="Arial" w:hAnsi="Arial" w:cs="Arial"/>
              </w:rPr>
              <w:t xml:space="preserve"> whose standard hourly </w:t>
            </w:r>
            <w:r w:rsidRPr="000E7424">
              <w:rPr>
                <w:rFonts w:ascii="Arial" w:hAnsi="Arial" w:cs="Arial"/>
              </w:rPr>
              <w:t>rate places them at or below the lower quartile</w:t>
            </w:r>
          </w:p>
        </w:tc>
      </w:tr>
      <w:tr w:rsidR="00A36588" w:rsidRPr="000E7424" w14:paraId="05FCA48C" w14:textId="77777777" w:rsidTr="00181181">
        <w:trPr>
          <w:trHeight w:val="1365"/>
        </w:trPr>
        <w:tc>
          <w:tcPr>
            <w:tcW w:w="1154" w:type="dxa"/>
          </w:tcPr>
          <w:p w14:paraId="753F295B" w14:textId="77777777" w:rsidR="00A36588" w:rsidRPr="000E7424" w:rsidRDefault="00A36588" w:rsidP="00181181">
            <w:pPr>
              <w:tabs>
                <w:tab w:val="left" w:pos="9552"/>
              </w:tabs>
              <w:rPr>
                <w:rFonts w:ascii="Arial" w:hAnsi="Arial" w:cs="Arial"/>
              </w:rPr>
            </w:pPr>
            <w:r w:rsidRPr="000E7424">
              <w:rPr>
                <w:rFonts w:ascii="Arial" w:hAnsi="Arial" w:cs="Arial"/>
              </w:rPr>
              <w:t>2</w:t>
            </w:r>
          </w:p>
        </w:tc>
        <w:tc>
          <w:tcPr>
            <w:tcW w:w="1410" w:type="dxa"/>
          </w:tcPr>
          <w:p w14:paraId="13226D37" w14:textId="77777777" w:rsidR="00A36588" w:rsidRPr="000E7424" w:rsidRDefault="00A36588" w:rsidP="00181181">
            <w:pPr>
              <w:tabs>
                <w:tab w:val="left" w:pos="9552"/>
              </w:tabs>
              <w:rPr>
                <w:rFonts w:ascii="Arial" w:hAnsi="Arial" w:cs="Arial"/>
              </w:rPr>
            </w:pPr>
            <w:r w:rsidRPr="000E7424">
              <w:rPr>
                <w:rFonts w:ascii="Arial" w:hAnsi="Arial" w:cs="Arial"/>
              </w:rPr>
              <w:t>1362.00</w:t>
            </w:r>
          </w:p>
        </w:tc>
        <w:tc>
          <w:tcPr>
            <w:tcW w:w="1426" w:type="dxa"/>
          </w:tcPr>
          <w:p w14:paraId="2AC492DA" w14:textId="77777777" w:rsidR="00A36588" w:rsidRPr="000E7424" w:rsidRDefault="00A36588" w:rsidP="00181181">
            <w:pPr>
              <w:tabs>
                <w:tab w:val="left" w:pos="9552"/>
              </w:tabs>
              <w:rPr>
                <w:rFonts w:ascii="Arial" w:hAnsi="Arial" w:cs="Arial"/>
              </w:rPr>
            </w:pPr>
            <w:r w:rsidRPr="000E7424">
              <w:rPr>
                <w:rFonts w:ascii="Arial" w:hAnsi="Arial" w:cs="Arial"/>
              </w:rPr>
              <w:t>403.00</w:t>
            </w:r>
          </w:p>
        </w:tc>
        <w:tc>
          <w:tcPr>
            <w:tcW w:w="1137" w:type="dxa"/>
          </w:tcPr>
          <w:p w14:paraId="52426DB1" w14:textId="77777777" w:rsidR="00A36588" w:rsidRPr="0081337E" w:rsidRDefault="00A36588" w:rsidP="00181181">
            <w:pPr>
              <w:tabs>
                <w:tab w:val="left" w:pos="9552"/>
              </w:tabs>
              <w:rPr>
                <w:rFonts w:ascii="Arial" w:hAnsi="Arial" w:cs="Arial"/>
                <w:b/>
              </w:rPr>
            </w:pPr>
            <w:r w:rsidRPr="0081337E">
              <w:rPr>
                <w:rFonts w:ascii="Arial" w:hAnsi="Arial" w:cs="Arial"/>
                <w:b/>
              </w:rPr>
              <w:t>77.17%</w:t>
            </w:r>
          </w:p>
        </w:tc>
        <w:tc>
          <w:tcPr>
            <w:tcW w:w="1137" w:type="dxa"/>
          </w:tcPr>
          <w:p w14:paraId="5976F77D" w14:textId="77777777" w:rsidR="00A36588" w:rsidRPr="0081337E" w:rsidRDefault="00A36588" w:rsidP="00181181">
            <w:pPr>
              <w:tabs>
                <w:tab w:val="left" w:pos="9552"/>
              </w:tabs>
              <w:rPr>
                <w:rFonts w:ascii="Arial" w:hAnsi="Arial" w:cs="Arial"/>
                <w:b/>
              </w:rPr>
            </w:pPr>
            <w:r w:rsidRPr="0081337E">
              <w:rPr>
                <w:rFonts w:ascii="Arial" w:hAnsi="Arial" w:cs="Arial"/>
                <w:b/>
              </w:rPr>
              <w:t>22.83%</w:t>
            </w:r>
          </w:p>
        </w:tc>
        <w:tc>
          <w:tcPr>
            <w:tcW w:w="2979" w:type="dxa"/>
          </w:tcPr>
          <w:p w14:paraId="44016E98" w14:textId="77777777" w:rsidR="00A36588" w:rsidRPr="000E7424" w:rsidRDefault="00A36588" w:rsidP="00181181">
            <w:pPr>
              <w:tabs>
                <w:tab w:val="left" w:pos="9552"/>
              </w:tabs>
              <w:rPr>
                <w:rFonts w:ascii="Arial" w:hAnsi="Arial" w:cs="Arial"/>
              </w:rPr>
            </w:pPr>
            <w:r w:rsidRPr="000E7424">
              <w:rPr>
                <w:rFonts w:ascii="Arial" w:hAnsi="Arial" w:cs="Arial"/>
              </w:rPr>
              <w:t xml:space="preserve">Includes all employees whose standard hourly rate places them </w:t>
            </w:r>
            <w:r>
              <w:rPr>
                <w:rFonts w:ascii="Arial" w:hAnsi="Arial" w:cs="Arial"/>
              </w:rPr>
              <w:t xml:space="preserve">above the lower quartile but at </w:t>
            </w:r>
            <w:r w:rsidRPr="000E7424">
              <w:rPr>
                <w:rFonts w:ascii="Arial" w:hAnsi="Arial" w:cs="Arial"/>
              </w:rPr>
              <w:t>or below the median</w:t>
            </w:r>
          </w:p>
        </w:tc>
      </w:tr>
      <w:tr w:rsidR="00A36588" w:rsidRPr="000E7424" w14:paraId="7FCBC8CB" w14:textId="77777777" w:rsidTr="00181181">
        <w:trPr>
          <w:trHeight w:val="1372"/>
        </w:trPr>
        <w:tc>
          <w:tcPr>
            <w:tcW w:w="1154" w:type="dxa"/>
          </w:tcPr>
          <w:p w14:paraId="484154D8" w14:textId="77777777" w:rsidR="00A36588" w:rsidRPr="000E7424" w:rsidRDefault="00A36588" w:rsidP="00181181">
            <w:pPr>
              <w:tabs>
                <w:tab w:val="left" w:pos="9552"/>
              </w:tabs>
              <w:rPr>
                <w:rFonts w:ascii="Arial" w:hAnsi="Arial" w:cs="Arial"/>
              </w:rPr>
            </w:pPr>
            <w:r w:rsidRPr="000E7424">
              <w:rPr>
                <w:rFonts w:ascii="Arial" w:hAnsi="Arial" w:cs="Arial"/>
              </w:rPr>
              <w:t>3</w:t>
            </w:r>
          </w:p>
        </w:tc>
        <w:tc>
          <w:tcPr>
            <w:tcW w:w="1410" w:type="dxa"/>
          </w:tcPr>
          <w:p w14:paraId="0D60AEF9" w14:textId="77777777" w:rsidR="00A36588" w:rsidRPr="000E7424" w:rsidRDefault="00A36588" w:rsidP="00181181">
            <w:pPr>
              <w:tabs>
                <w:tab w:val="left" w:pos="9552"/>
              </w:tabs>
              <w:rPr>
                <w:rFonts w:ascii="Arial" w:hAnsi="Arial" w:cs="Arial"/>
              </w:rPr>
            </w:pPr>
            <w:r w:rsidRPr="000E7424">
              <w:rPr>
                <w:rFonts w:ascii="Arial" w:hAnsi="Arial" w:cs="Arial"/>
              </w:rPr>
              <w:t>1365.00</w:t>
            </w:r>
          </w:p>
        </w:tc>
        <w:tc>
          <w:tcPr>
            <w:tcW w:w="1426" w:type="dxa"/>
          </w:tcPr>
          <w:p w14:paraId="51254B64" w14:textId="77777777" w:rsidR="00A36588" w:rsidRPr="000E7424" w:rsidRDefault="00A36588" w:rsidP="00181181">
            <w:pPr>
              <w:tabs>
                <w:tab w:val="left" w:pos="9552"/>
              </w:tabs>
              <w:rPr>
                <w:rFonts w:ascii="Arial" w:hAnsi="Arial" w:cs="Arial"/>
              </w:rPr>
            </w:pPr>
            <w:r w:rsidRPr="000E7424">
              <w:rPr>
                <w:rFonts w:ascii="Arial" w:hAnsi="Arial" w:cs="Arial"/>
              </w:rPr>
              <w:t>384.00</w:t>
            </w:r>
          </w:p>
        </w:tc>
        <w:tc>
          <w:tcPr>
            <w:tcW w:w="1137" w:type="dxa"/>
          </w:tcPr>
          <w:p w14:paraId="1ECA195E" w14:textId="77777777" w:rsidR="00A36588" w:rsidRPr="0081337E" w:rsidRDefault="00A36588" w:rsidP="00181181">
            <w:pPr>
              <w:tabs>
                <w:tab w:val="left" w:pos="9552"/>
              </w:tabs>
              <w:rPr>
                <w:rFonts w:ascii="Arial" w:hAnsi="Arial" w:cs="Arial"/>
                <w:b/>
              </w:rPr>
            </w:pPr>
            <w:r w:rsidRPr="0081337E">
              <w:rPr>
                <w:rFonts w:ascii="Arial" w:hAnsi="Arial" w:cs="Arial"/>
                <w:b/>
              </w:rPr>
              <w:t>78.04%</w:t>
            </w:r>
          </w:p>
        </w:tc>
        <w:tc>
          <w:tcPr>
            <w:tcW w:w="1137" w:type="dxa"/>
          </w:tcPr>
          <w:p w14:paraId="4A3BDD0D" w14:textId="77777777" w:rsidR="00A36588" w:rsidRPr="0081337E" w:rsidRDefault="00A36588" w:rsidP="00181181">
            <w:pPr>
              <w:tabs>
                <w:tab w:val="left" w:pos="9552"/>
              </w:tabs>
              <w:rPr>
                <w:rFonts w:ascii="Arial" w:hAnsi="Arial" w:cs="Arial"/>
                <w:b/>
              </w:rPr>
            </w:pPr>
            <w:r w:rsidRPr="0081337E">
              <w:rPr>
                <w:rFonts w:ascii="Arial" w:hAnsi="Arial" w:cs="Arial"/>
                <w:b/>
              </w:rPr>
              <w:t>21.96%</w:t>
            </w:r>
          </w:p>
        </w:tc>
        <w:tc>
          <w:tcPr>
            <w:tcW w:w="2979" w:type="dxa"/>
          </w:tcPr>
          <w:p w14:paraId="759C1482" w14:textId="77777777" w:rsidR="00A36588" w:rsidRPr="000E7424" w:rsidRDefault="00A36588" w:rsidP="00181181">
            <w:pPr>
              <w:tabs>
                <w:tab w:val="left" w:pos="9552"/>
              </w:tabs>
              <w:rPr>
                <w:rFonts w:ascii="Arial" w:hAnsi="Arial" w:cs="Arial"/>
              </w:rPr>
            </w:pPr>
            <w:r w:rsidRPr="000E7424">
              <w:rPr>
                <w:rFonts w:ascii="Arial" w:hAnsi="Arial" w:cs="Arial"/>
              </w:rPr>
              <w:t xml:space="preserve">Includes all employees whose standard hourly rate places </w:t>
            </w:r>
            <w:r>
              <w:rPr>
                <w:rFonts w:ascii="Arial" w:hAnsi="Arial" w:cs="Arial"/>
              </w:rPr>
              <w:t xml:space="preserve">them above the median but at or </w:t>
            </w:r>
            <w:r w:rsidRPr="000E7424">
              <w:rPr>
                <w:rFonts w:ascii="Arial" w:hAnsi="Arial" w:cs="Arial"/>
              </w:rPr>
              <w:t>below the upper quartile</w:t>
            </w:r>
          </w:p>
        </w:tc>
      </w:tr>
      <w:tr w:rsidR="00A36588" w:rsidRPr="000E7424" w14:paraId="12394840" w14:textId="77777777" w:rsidTr="00181181">
        <w:trPr>
          <w:trHeight w:val="1085"/>
        </w:trPr>
        <w:tc>
          <w:tcPr>
            <w:tcW w:w="1154" w:type="dxa"/>
          </w:tcPr>
          <w:p w14:paraId="47E30078" w14:textId="77777777" w:rsidR="00A36588" w:rsidRPr="000E7424" w:rsidRDefault="00A36588" w:rsidP="00181181">
            <w:pPr>
              <w:tabs>
                <w:tab w:val="left" w:pos="9552"/>
              </w:tabs>
              <w:rPr>
                <w:rFonts w:ascii="Arial" w:hAnsi="Arial" w:cs="Arial"/>
              </w:rPr>
            </w:pPr>
            <w:r w:rsidRPr="000E7424">
              <w:rPr>
                <w:rFonts w:ascii="Arial" w:hAnsi="Arial" w:cs="Arial"/>
              </w:rPr>
              <w:t>4</w:t>
            </w:r>
          </w:p>
          <w:p w14:paraId="6A95C4A6" w14:textId="77777777" w:rsidR="00A36588" w:rsidRPr="000E7424" w:rsidRDefault="00A36588" w:rsidP="00181181">
            <w:pPr>
              <w:tabs>
                <w:tab w:val="left" w:pos="9552"/>
              </w:tabs>
              <w:rPr>
                <w:rFonts w:ascii="Arial" w:hAnsi="Arial" w:cs="Arial"/>
              </w:rPr>
            </w:pPr>
            <w:r w:rsidRPr="000E7424">
              <w:rPr>
                <w:rFonts w:ascii="Arial" w:hAnsi="Arial" w:cs="Arial"/>
              </w:rPr>
              <w:t>(highest paid)</w:t>
            </w:r>
          </w:p>
        </w:tc>
        <w:tc>
          <w:tcPr>
            <w:tcW w:w="1410" w:type="dxa"/>
          </w:tcPr>
          <w:p w14:paraId="0EA5F1F8" w14:textId="77777777" w:rsidR="00A36588" w:rsidRPr="000E7424" w:rsidRDefault="00A36588" w:rsidP="00181181">
            <w:pPr>
              <w:tabs>
                <w:tab w:val="left" w:pos="9552"/>
              </w:tabs>
              <w:rPr>
                <w:rFonts w:ascii="Arial" w:hAnsi="Arial" w:cs="Arial"/>
              </w:rPr>
            </w:pPr>
            <w:r w:rsidRPr="000E7424">
              <w:rPr>
                <w:rFonts w:ascii="Arial" w:hAnsi="Arial" w:cs="Arial"/>
              </w:rPr>
              <w:t>1291.00</w:t>
            </w:r>
          </w:p>
        </w:tc>
        <w:tc>
          <w:tcPr>
            <w:tcW w:w="1426" w:type="dxa"/>
          </w:tcPr>
          <w:p w14:paraId="0F406C85" w14:textId="77777777" w:rsidR="00A36588" w:rsidRPr="000E7424" w:rsidRDefault="00A36588" w:rsidP="00181181">
            <w:pPr>
              <w:tabs>
                <w:tab w:val="left" w:pos="9552"/>
              </w:tabs>
              <w:rPr>
                <w:rFonts w:ascii="Arial" w:hAnsi="Arial" w:cs="Arial"/>
              </w:rPr>
            </w:pPr>
            <w:r w:rsidRPr="000E7424">
              <w:rPr>
                <w:rFonts w:ascii="Arial" w:hAnsi="Arial" w:cs="Arial"/>
              </w:rPr>
              <w:t>489.00</w:t>
            </w:r>
          </w:p>
        </w:tc>
        <w:tc>
          <w:tcPr>
            <w:tcW w:w="1137" w:type="dxa"/>
          </w:tcPr>
          <w:p w14:paraId="358FF159" w14:textId="77777777" w:rsidR="00A36588" w:rsidRPr="0081337E" w:rsidRDefault="00A36588" w:rsidP="00181181">
            <w:pPr>
              <w:tabs>
                <w:tab w:val="left" w:pos="9552"/>
              </w:tabs>
              <w:rPr>
                <w:rFonts w:ascii="Arial" w:hAnsi="Arial" w:cs="Arial"/>
                <w:b/>
              </w:rPr>
            </w:pPr>
            <w:r w:rsidRPr="0081337E">
              <w:rPr>
                <w:rFonts w:ascii="Arial" w:hAnsi="Arial" w:cs="Arial"/>
                <w:b/>
              </w:rPr>
              <w:t>72.53%</w:t>
            </w:r>
          </w:p>
        </w:tc>
        <w:tc>
          <w:tcPr>
            <w:tcW w:w="1137" w:type="dxa"/>
          </w:tcPr>
          <w:p w14:paraId="6E2AC4A9" w14:textId="77777777" w:rsidR="00A36588" w:rsidRPr="0081337E" w:rsidRDefault="00A36588" w:rsidP="00181181">
            <w:pPr>
              <w:tabs>
                <w:tab w:val="left" w:pos="9552"/>
              </w:tabs>
              <w:rPr>
                <w:rFonts w:ascii="Arial" w:hAnsi="Arial" w:cs="Arial"/>
                <w:b/>
              </w:rPr>
            </w:pPr>
            <w:r w:rsidRPr="0081337E">
              <w:rPr>
                <w:rFonts w:ascii="Arial" w:hAnsi="Arial" w:cs="Arial"/>
                <w:b/>
              </w:rPr>
              <w:t>27.47%</w:t>
            </w:r>
          </w:p>
        </w:tc>
        <w:tc>
          <w:tcPr>
            <w:tcW w:w="2979" w:type="dxa"/>
          </w:tcPr>
          <w:p w14:paraId="79C785B8" w14:textId="77777777" w:rsidR="00A36588" w:rsidRPr="000E7424" w:rsidRDefault="00A36588" w:rsidP="00181181">
            <w:pPr>
              <w:tabs>
                <w:tab w:val="left" w:pos="9552"/>
              </w:tabs>
              <w:rPr>
                <w:rFonts w:ascii="Arial" w:hAnsi="Arial" w:cs="Arial"/>
              </w:rPr>
            </w:pPr>
            <w:r w:rsidRPr="000E7424">
              <w:rPr>
                <w:rFonts w:ascii="Arial" w:hAnsi="Arial" w:cs="Arial"/>
              </w:rPr>
              <w:t xml:space="preserve">Includes all </w:t>
            </w:r>
            <w:r>
              <w:rPr>
                <w:rFonts w:ascii="Arial" w:hAnsi="Arial" w:cs="Arial"/>
              </w:rPr>
              <w:t xml:space="preserve">employees whose standard hourly </w:t>
            </w:r>
            <w:r w:rsidRPr="000E7424">
              <w:rPr>
                <w:rFonts w:ascii="Arial" w:hAnsi="Arial" w:cs="Arial"/>
              </w:rPr>
              <w:t>rate places them above the upper quartile</w:t>
            </w:r>
          </w:p>
          <w:p w14:paraId="7661EDA2" w14:textId="77777777" w:rsidR="00A36588" w:rsidRPr="000E7424" w:rsidRDefault="00A36588" w:rsidP="00181181">
            <w:pPr>
              <w:tabs>
                <w:tab w:val="left" w:pos="9552"/>
              </w:tabs>
              <w:rPr>
                <w:rFonts w:ascii="Arial" w:hAnsi="Arial" w:cs="Arial"/>
              </w:rPr>
            </w:pPr>
          </w:p>
          <w:p w14:paraId="25E6618E" w14:textId="77777777" w:rsidR="00A36588" w:rsidRPr="000E7424" w:rsidRDefault="00A36588" w:rsidP="00181181">
            <w:pPr>
              <w:tabs>
                <w:tab w:val="left" w:pos="9552"/>
              </w:tabs>
              <w:rPr>
                <w:rFonts w:ascii="Arial" w:hAnsi="Arial" w:cs="Arial"/>
              </w:rPr>
            </w:pPr>
          </w:p>
        </w:tc>
      </w:tr>
    </w:tbl>
    <w:p w14:paraId="3A95738D" w14:textId="77777777" w:rsidR="00A36588" w:rsidRPr="000E7424" w:rsidRDefault="00A36588" w:rsidP="00A36588">
      <w:pPr>
        <w:tabs>
          <w:tab w:val="left" w:pos="9552"/>
        </w:tabs>
        <w:rPr>
          <w:rFonts w:ascii="Arial" w:hAnsi="Arial" w:cs="Arial"/>
          <w:b/>
          <w:bCs/>
          <w:color w:val="005EB8"/>
          <w:sz w:val="28"/>
          <w:szCs w:val="28"/>
        </w:rPr>
      </w:pPr>
    </w:p>
    <w:p w14:paraId="127EB9D3" w14:textId="77777777" w:rsidR="00A36588" w:rsidRDefault="00A36588" w:rsidP="00A36588">
      <w:pPr>
        <w:tabs>
          <w:tab w:val="left" w:pos="9552"/>
        </w:tabs>
        <w:rPr>
          <w:rFonts w:ascii="Arial" w:hAnsi="Arial" w:cs="Arial"/>
        </w:rPr>
      </w:pPr>
    </w:p>
    <w:p w14:paraId="22AB7FB6" w14:textId="77777777" w:rsidR="00A36588" w:rsidRDefault="00A36588" w:rsidP="00A36588">
      <w:pPr>
        <w:tabs>
          <w:tab w:val="left" w:pos="9552"/>
        </w:tabs>
        <w:rPr>
          <w:rFonts w:ascii="Arial" w:hAnsi="Arial" w:cs="Arial"/>
        </w:rPr>
      </w:pPr>
    </w:p>
    <w:p w14:paraId="284F3B77" w14:textId="77777777" w:rsidR="00A36588" w:rsidRDefault="00A36588" w:rsidP="00A36588">
      <w:pPr>
        <w:tabs>
          <w:tab w:val="left" w:pos="9552"/>
        </w:tabs>
        <w:rPr>
          <w:rFonts w:ascii="Arial" w:hAnsi="Arial" w:cs="Arial"/>
        </w:rPr>
      </w:pPr>
    </w:p>
    <w:p w14:paraId="02A90F9D" w14:textId="77777777" w:rsidR="00A36588" w:rsidRDefault="00A36588" w:rsidP="00A36588">
      <w:pPr>
        <w:tabs>
          <w:tab w:val="left" w:pos="9552"/>
        </w:tabs>
        <w:rPr>
          <w:rFonts w:ascii="Arial" w:hAnsi="Arial" w:cs="Arial"/>
        </w:rPr>
      </w:pPr>
    </w:p>
    <w:p w14:paraId="2AC8A32C" w14:textId="77777777" w:rsidR="00A36588" w:rsidRDefault="00A36588" w:rsidP="00A36588">
      <w:pPr>
        <w:tabs>
          <w:tab w:val="left" w:pos="9552"/>
        </w:tabs>
        <w:rPr>
          <w:rFonts w:ascii="Arial" w:hAnsi="Arial" w:cs="Arial"/>
        </w:rPr>
      </w:pPr>
    </w:p>
    <w:p w14:paraId="6E289E1C" w14:textId="77777777" w:rsidR="00A36588" w:rsidRDefault="00A36588" w:rsidP="00A36588">
      <w:pPr>
        <w:tabs>
          <w:tab w:val="left" w:pos="9552"/>
        </w:tabs>
        <w:rPr>
          <w:rFonts w:ascii="Arial" w:hAnsi="Arial" w:cs="Arial"/>
        </w:rPr>
      </w:pPr>
    </w:p>
    <w:p w14:paraId="274681D3" w14:textId="77777777" w:rsidR="00A36588" w:rsidRDefault="00A36588" w:rsidP="00A36588">
      <w:pPr>
        <w:tabs>
          <w:tab w:val="left" w:pos="9552"/>
        </w:tabs>
        <w:rPr>
          <w:rFonts w:ascii="Arial" w:hAnsi="Arial" w:cs="Arial"/>
        </w:rPr>
      </w:pPr>
    </w:p>
    <w:p w14:paraId="56EF339F" w14:textId="77777777" w:rsidR="00A36588" w:rsidRDefault="00A36588" w:rsidP="00A36588">
      <w:pPr>
        <w:tabs>
          <w:tab w:val="left" w:pos="9552"/>
        </w:tabs>
        <w:rPr>
          <w:rFonts w:ascii="Arial" w:hAnsi="Arial" w:cs="Arial"/>
        </w:rPr>
      </w:pPr>
    </w:p>
    <w:p w14:paraId="319C4EE7" w14:textId="77777777" w:rsidR="00A36588" w:rsidRDefault="00A36588" w:rsidP="00A36588">
      <w:pPr>
        <w:tabs>
          <w:tab w:val="left" w:pos="9552"/>
        </w:tabs>
        <w:rPr>
          <w:rFonts w:ascii="Arial" w:hAnsi="Arial" w:cs="Arial"/>
        </w:rPr>
      </w:pPr>
    </w:p>
    <w:p w14:paraId="548BBC39" w14:textId="77777777" w:rsidR="00A36588" w:rsidRDefault="00A36588" w:rsidP="00A36588">
      <w:pPr>
        <w:tabs>
          <w:tab w:val="left" w:pos="9552"/>
        </w:tabs>
        <w:rPr>
          <w:rFonts w:ascii="Arial" w:hAnsi="Arial" w:cs="Arial"/>
        </w:rPr>
      </w:pPr>
    </w:p>
    <w:p w14:paraId="0FC0BB6A" w14:textId="77777777" w:rsidR="00A36588" w:rsidRDefault="00A36588" w:rsidP="00A36588">
      <w:pPr>
        <w:tabs>
          <w:tab w:val="left" w:pos="9552"/>
        </w:tabs>
        <w:rPr>
          <w:rFonts w:ascii="Arial" w:hAnsi="Arial" w:cs="Arial"/>
        </w:rPr>
      </w:pPr>
    </w:p>
    <w:p w14:paraId="6FE289C7" w14:textId="77777777" w:rsidR="00A36588" w:rsidRDefault="00A36588" w:rsidP="00A36588">
      <w:pPr>
        <w:tabs>
          <w:tab w:val="left" w:pos="9552"/>
        </w:tabs>
        <w:rPr>
          <w:rFonts w:ascii="Arial" w:hAnsi="Arial" w:cs="Arial"/>
        </w:rPr>
      </w:pPr>
    </w:p>
    <w:p w14:paraId="60CC80F1" w14:textId="77777777" w:rsidR="00A36588" w:rsidRDefault="00A36588" w:rsidP="00A36588">
      <w:pPr>
        <w:tabs>
          <w:tab w:val="left" w:pos="9552"/>
        </w:tabs>
        <w:rPr>
          <w:rFonts w:ascii="Arial" w:hAnsi="Arial" w:cs="Arial"/>
        </w:rPr>
      </w:pPr>
    </w:p>
    <w:p w14:paraId="207B7BE3" w14:textId="77777777" w:rsidR="00A36588" w:rsidRDefault="00A36588" w:rsidP="00A36588">
      <w:pPr>
        <w:tabs>
          <w:tab w:val="left" w:pos="9552"/>
        </w:tabs>
        <w:rPr>
          <w:rFonts w:ascii="Arial" w:hAnsi="Arial" w:cs="Arial"/>
        </w:rPr>
      </w:pPr>
    </w:p>
    <w:p w14:paraId="3C4C813E" w14:textId="77777777" w:rsidR="00A36588" w:rsidRPr="000E7424" w:rsidRDefault="00A36588" w:rsidP="00A36588">
      <w:pPr>
        <w:tabs>
          <w:tab w:val="left" w:pos="9552"/>
        </w:tabs>
        <w:spacing w:after="0"/>
        <w:rPr>
          <w:rFonts w:ascii="Arial" w:hAnsi="Arial" w:cs="Arial"/>
        </w:rPr>
      </w:pPr>
    </w:p>
    <w:p w14:paraId="5E06EFD4" w14:textId="77777777" w:rsidR="00A36588" w:rsidRPr="000E7424" w:rsidRDefault="00A36588" w:rsidP="00A36588">
      <w:pPr>
        <w:tabs>
          <w:tab w:val="left" w:pos="9552"/>
        </w:tabs>
        <w:spacing w:after="160" w:line="259" w:lineRule="auto"/>
        <w:rPr>
          <w:rFonts w:ascii="Arial" w:hAnsi="Arial" w:cs="Arial"/>
          <w:b/>
          <w:bCs/>
          <w:color w:val="005EB8"/>
          <w:sz w:val="28"/>
          <w:szCs w:val="28"/>
        </w:rPr>
      </w:pPr>
      <w:r w:rsidRPr="000E7424">
        <w:rPr>
          <w:rFonts w:ascii="Arial" w:hAnsi="Arial" w:cs="Arial"/>
          <w:b/>
          <w:bCs/>
          <w:color w:val="005EB8"/>
          <w:sz w:val="28"/>
          <w:szCs w:val="28"/>
        </w:rPr>
        <w:t>What do we do to ensure equal pay?</w:t>
      </w:r>
    </w:p>
    <w:p w14:paraId="4B2B7CB8" w14:textId="77777777" w:rsidR="00A36588" w:rsidRPr="000E7424" w:rsidRDefault="00A36588" w:rsidP="00A36588">
      <w:pPr>
        <w:tabs>
          <w:tab w:val="left" w:pos="9552"/>
        </w:tabs>
        <w:rPr>
          <w:rFonts w:ascii="Arial" w:hAnsi="Arial" w:cs="Arial"/>
        </w:rPr>
      </w:pPr>
      <w:r w:rsidRPr="000E7424">
        <w:rPr>
          <w:rFonts w:ascii="Arial" w:hAnsi="Arial" w:cs="Arial"/>
        </w:rPr>
        <w:t xml:space="preserve">As noted earlier in this report, it is important to stress that the </w:t>
      </w:r>
      <w:r w:rsidRPr="000E7424">
        <w:rPr>
          <w:rFonts w:ascii="Arial" w:hAnsi="Arial" w:cs="Arial"/>
          <w:b/>
          <w:u w:val="single"/>
        </w:rPr>
        <w:t>gender pay gap is different to equal pay</w:t>
      </w:r>
      <w:r w:rsidRPr="000E7424">
        <w:rPr>
          <w:rFonts w:ascii="Arial" w:hAnsi="Arial" w:cs="Arial"/>
        </w:rPr>
        <w:t>. Equal pay deals with the pay differences between men and women who carry out the same jobs, similar jobs or work of equal value. It is unlawful to pay people unequally because of their gender.</w:t>
      </w:r>
    </w:p>
    <w:p w14:paraId="5E5C7D7A" w14:textId="77777777" w:rsidR="00A36588" w:rsidRPr="000E7424" w:rsidRDefault="00A36588" w:rsidP="00A36588">
      <w:pPr>
        <w:tabs>
          <w:tab w:val="left" w:pos="9552"/>
        </w:tabs>
        <w:rPr>
          <w:rFonts w:ascii="Arial" w:hAnsi="Arial" w:cs="Arial"/>
        </w:rPr>
      </w:pPr>
      <w:r w:rsidRPr="000E7424">
        <w:rPr>
          <w:rFonts w:ascii="Arial" w:hAnsi="Arial" w:cs="Arial"/>
        </w:rPr>
        <w:t>Legislation requires that men and women must receive equal pay for:</w:t>
      </w:r>
    </w:p>
    <w:p w14:paraId="1D469AF9" w14:textId="77777777" w:rsidR="00A36588" w:rsidRPr="000E7424" w:rsidRDefault="00A36588" w:rsidP="00A36588">
      <w:pPr>
        <w:pStyle w:val="ListParagraph"/>
        <w:widowControl w:val="0"/>
        <w:numPr>
          <w:ilvl w:val="0"/>
          <w:numId w:val="7"/>
        </w:numPr>
        <w:tabs>
          <w:tab w:val="left" w:pos="9552"/>
        </w:tabs>
        <w:autoSpaceDE w:val="0"/>
        <w:autoSpaceDN w:val="0"/>
        <w:spacing w:after="0" w:line="291" w:lineRule="exact"/>
        <w:ind w:left="0"/>
        <w:contextualSpacing w:val="0"/>
        <w:rPr>
          <w:rFonts w:ascii="Arial" w:hAnsi="Arial" w:cs="Arial"/>
        </w:rPr>
      </w:pPr>
      <w:r w:rsidRPr="000E7424">
        <w:rPr>
          <w:rFonts w:ascii="Arial" w:hAnsi="Arial" w:cs="Arial"/>
        </w:rPr>
        <w:t>the same or broadly similar work</w:t>
      </w:r>
    </w:p>
    <w:p w14:paraId="38B3FA48" w14:textId="77777777" w:rsidR="00A36588" w:rsidRPr="000E7424" w:rsidRDefault="00A36588" w:rsidP="00A36588">
      <w:pPr>
        <w:pStyle w:val="ListParagraph"/>
        <w:widowControl w:val="0"/>
        <w:numPr>
          <w:ilvl w:val="0"/>
          <w:numId w:val="7"/>
        </w:numPr>
        <w:tabs>
          <w:tab w:val="left" w:pos="9552"/>
        </w:tabs>
        <w:autoSpaceDE w:val="0"/>
        <w:autoSpaceDN w:val="0"/>
        <w:spacing w:after="0" w:line="291" w:lineRule="exact"/>
        <w:ind w:left="0"/>
        <w:contextualSpacing w:val="0"/>
        <w:rPr>
          <w:rFonts w:ascii="Arial" w:hAnsi="Arial" w:cs="Arial"/>
        </w:rPr>
      </w:pPr>
      <w:proofErr w:type="gramStart"/>
      <w:r w:rsidRPr="000E7424">
        <w:rPr>
          <w:rFonts w:ascii="Arial" w:hAnsi="Arial" w:cs="Arial"/>
        </w:rPr>
        <w:t>work</w:t>
      </w:r>
      <w:proofErr w:type="gramEnd"/>
      <w:r w:rsidRPr="000E7424">
        <w:rPr>
          <w:rFonts w:ascii="Arial" w:hAnsi="Arial" w:cs="Arial"/>
        </w:rPr>
        <w:t xml:space="preserve"> rated as equivalent under a job evaluation scheme; or work of equal value.</w:t>
      </w:r>
    </w:p>
    <w:p w14:paraId="6B955BFE" w14:textId="77777777" w:rsidR="00A36588" w:rsidRPr="000E7424" w:rsidRDefault="00A36588" w:rsidP="00A36588">
      <w:pPr>
        <w:tabs>
          <w:tab w:val="left" w:pos="9552"/>
        </w:tabs>
        <w:rPr>
          <w:rFonts w:ascii="Arial" w:hAnsi="Arial" w:cs="Arial"/>
        </w:rPr>
      </w:pPr>
    </w:p>
    <w:p w14:paraId="5BF7162F" w14:textId="77777777" w:rsidR="00A36588" w:rsidRPr="000E7424" w:rsidRDefault="00A36588" w:rsidP="00A36588">
      <w:pPr>
        <w:tabs>
          <w:tab w:val="left" w:pos="9552"/>
        </w:tabs>
        <w:rPr>
          <w:rFonts w:ascii="Arial" w:hAnsi="Arial" w:cs="Arial"/>
        </w:rPr>
      </w:pPr>
      <w:r w:rsidRPr="000E7424">
        <w:rPr>
          <w:rFonts w:ascii="Arial" w:hAnsi="Arial" w:cs="Arial"/>
        </w:rPr>
        <w:t>We are committed to providing equal opportunities and equal treatment for all employees, regardless of sex, race, religion or belief, age, marriage or civil partnership, pregnancy/ maternity, sexual orientation, gender reassignment or disability. We pay employees equally for the same or equivalent work, regardless of their sex or race (or any other characteristic set out above).</w:t>
      </w:r>
    </w:p>
    <w:p w14:paraId="311AED1B" w14:textId="77777777" w:rsidR="00A36588" w:rsidRDefault="00A36588" w:rsidP="00A36588">
      <w:pPr>
        <w:tabs>
          <w:tab w:val="left" w:pos="9552"/>
        </w:tabs>
        <w:rPr>
          <w:rFonts w:ascii="Arial" w:hAnsi="Arial" w:cs="Arial"/>
        </w:rPr>
      </w:pPr>
      <w:r w:rsidRPr="000E7424">
        <w:rPr>
          <w:rFonts w:ascii="Arial" w:hAnsi="Arial" w:cs="Arial"/>
        </w:rPr>
        <w:t>We deliver equal pay through a number of means but primarily through adopting nationally agreed terms and conditions for our workforce:</w:t>
      </w:r>
    </w:p>
    <w:p w14:paraId="7106EB17" w14:textId="77777777" w:rsidR="00A36588" w:rsidRDefault="00A36588" w:rsidP="00A36588">
      <w:pPr>
        <w:tabs>
          <w:tab w:val="left" w:pos="9552"/>
        </w:tabs>
        <w:rPr>
          <w:rFonts w:ascii="Arial" w:hAnsi="Arial" w:cs="Arial"/>
        </w:rPr>
      </w:pPr>
    </w:p>
    <w:p w14:paraId="3175B9BB" w14:textId="77777777" w:rsidR="00A36588" w:rsidRDefault="00A36588" w:rsidP="00A36588">
      <w:pPr>
        <w:tabs>
          <w:tab w:val="left" w:pos="9552"/>
        </w:tabs>
        <w:rPr>
          <w:rFonts w:ascii="Arial" w:hAnsi="Arial" w:cs="Arial"/>
        </w:rPr>
      </w:pPr>
    </w:p>
    <w:p w14:paraId="0C6315D3" w14:textId="77777777" w:rsidR="00A36588" w:rsidRPr="000E7424" w:rsidRDefault="00A36588" w:rsidP="00A36588">
      <w:pPr>
        <w:tabs>
          <w:tab w:val="left" w:pos="9552"/>
        </w:tabs>
        <w:rPr>
          <w:rFonts w:ascii="Arial" w:hAnsi="Arial" w:cs="Arial"/>
        </w:rPr>
      </w:pPr>
    </w:p>
    <w:p w14:paraId="5048FFCA" w14:textId="77777777" w:rsidR="00A36588" w:rsidRPr="000E7424" w:rsidRDefault="00A36588" w:rsidP="00A36588">
      <w:pPr>
        <w:tabs>
          <w:tab w:val="left" w:pos="9552"/>
        </w:tabs>
        <w:rPr>
          <w:rFonts w:ascii="Arial" w:hAnsi="Arial" w:cs="Arial"/>
          <w:b/>
          <w:u w:val="single"/>
        </w:rPr>
      </w:pPr>
      <w:r w:rsidRPr="000E7424">
        <w:rPr>
          <w:rFonts w:ascii="Arial" w:hAnsi="Arial" w:cs="Arial"/>
          <w:b/>
          <w:u w:val="single"/>
        </w:rPr>
        <w:t>National NHS Agenda for Change Terms and Conditions of Service (</w:t>
      </w:r>
      <w:proofErr w:type="spellStart"/>
      <w:r w:rsidRPr="000E7424">
        <w:rPr>
          <w:rFonts w:ascii="Arial" w:hAnsi="Arial" w:cs="Arial"/>
          <w:b/>
          <w:u w:val="single"/>
        </w:rPr>
        <w:t>AfC</w:t>
      </w:r>
      <w:proofErr w:type="spellEnd"/>
      <w:r w:rsidRPr="000E7424">
        <w:rPr>
          <w:rFonts w:ascii="Arial" w:hAnsi="Arial" w:cs="Arial"/>
          <w:b/>
          <w:u w:val="single"/>
        </w:rPr>
        <w:t>)</w:t>
      </w:r>
    </w:p>
    <w:p w14:paraId="1B89D4CE" w14:textId="77777777" w:rsidR="00A36588" w:rsidRPr="000E7424" w:rsidRDefault="00A36588" w:rsidP="00A36588">
      <w:pPr>
        <w:tabs>
          <w:tab w:val="left" w:pos="9552"/>
        </w:tabs>
        <w:rPr>
          <w:rFonts w:ascii="Arial" w:hAnsi="Arial" w:cs="Arial"/>
        </w:rPr>
      </w:pPr>
      <w:proofErr w:type="spellStart"/>
      <w:r w:rsidRPr="000E7424">
        <w:rPr>
          <w:rFonts w:ascii="Arial" w:hAnsi="Arial" w:cs="Arial"/>
        </w:rPr>
        <w:t>AfC</w:t>
      </w:r>
      <w:proofErr w:type="spellEnd"/>
      <w:r w:rsidRPr="000E7424">
        <w:rPr>
          <w:rFonts w:ascii="Arial" w:hAnsi="Arial" w:cs="Arial"/>
        </w:rPr>
        <w:t xml:space="preserve"> is negotiated nationally by the NHS Staff Council, led by NHS Employers. The national NHS Staff Council has overall responsibility for the </w:t>
      </w:r>
      <w:proofErr w:type="spellStart"/>
      <w:r w:rsidRPr="000E7424">
        <w:rPr>
          <w:rFonts w:ascii="Arial" w:hAnsi="Arial" w:cs="Arial"/>
        </w:rPr>
        <w:t>AfC</w:t>
      </w:r>
      <w:proofErr w:type="spellEnd"/>
      <w:r w:rsidRPr="000E7424">
        <w:rPr>
          <w:rFonts w:ascii="Arial" w:hAnsi="Arial" w:cs="Arial"/>
        </w:rPr>
        <w:t xml:space="preserve"> pay system and has representatives from both employers and trade unions. </w:t>
      </w:r>
      <w:proofErr w:type="spellStart"/>
      <w:r w:rsidRPr="000E7424">
        <w:rPr>
          <w:rFonts w:ascii="Arial" w:hAnsi="Arial" w:cs="Arial"/>
        </w:rPr>
        <w:t>AfC</w:t>
      </w:r>
      <w:proofErr w:type="spellEnd"/>
      <w:r w:rsidRPr="000E7424">
        <w:rPr>
          <w:rFonts w:ascii="Arial" w:hAnsi="Arial" w:cs="Arial"/>
        </w:rPr>
        <w:t xml:space="preserve"> provides the framework for pay arrangements which are in place at EPUT.</w:t>
      </w:r>
    </w:p>
    <w:p w14:paraId="11B5B64F" w14:textId="77777777" w:rsidR="00A36588" w:rsidRPr="000E7424" w:rsidRDefault="00A36588" w:rsidP="00A36588">
      <w:pPr>
        <w:tabs>
          <w:tab w:val="left" w:pos="9552"/>
        </w:tabs>
        <w:rPr>
          <w:rFonts w:ascii="Arial" w:hAnsi="Arial" w:cs="Arial"/>
        </w:rPr>
      </w:pPr>
      <w:r w:rsidRPr="000E7424">
        <w:rPr>
          <w:rFonts w:ascii="Arial" w:hAnsi="Arial" w:cs="Arial"/>
        </w:rPr>
        <w:t xml:space="preserve">Typically, </w:t>
      </w:r>
      <w:proofErr w:type="spellStart"/>
      <w:r w:rsidRPr="000E7424">
        <w:rPr>
          <w:rFonts w:ascii="Arial" w:hAnsi="Arial" w:cs="Arial"/>
        </w:rPr>
        <w:t>AfC</w:t>
      </w:r>
      <w:proofErr w:type="spellEnd"/>
      <w:r w:rsidRPr="000E7424">
        <w:rPr>
          <w:rFonts w:ascii="Arial" w:hAnsi="Arial" w:cs="Arial"/>
        </w:rPr>
        <w:t xml:space="preserve"> terms and conditions apply to nursing, allied health professionals and administration and clerical staff, which are </w:t>
      </w:r>
      <w:bookmarkStart w:id="2" w:name="_Int_J1G8rXd8"/>
      <w:r w:rsidRPr="000E7424">
        <w:rPr>
          <w:rFonts w:ascii="Arial" w:hAnsi="Arial" w:cs="Arial"/>
        </w:rPr>
        <w:t>the majority of</w:t>
      </w:r>
      <w:bookmarkEnd w:id="2"/>
      <w:r w:rsidRPr="000E7424">
        <w:rPr>
          <w:rFonts w:ascii="Arial" w:hAnsi="Arial" w:cs="Arial"/>
        </w:rPr>
        <w:t xml:space="preserve"> the workforce.</w:t>
      </w:r>
    </w:p>
    <w:p w14:paraId="031FB584" w14:textId="77777777" w:rsidR="00A36588" w:rsidRPr="000E7424" w:rsidRDefault="00A36588" w:rsidP="00A36588">
      <w:pPr>
        <w:tabs>
          <w:tab w:val="left" w:pos="9552"/>
        </w:tabs>
        <w:rPr>
          <w:rFonts w:ascii="Arial" w:hAnsi="Arial" w:cs="Arial"/>
        </w:rPr>
      </w:pPr>
      <w:r w:rsidRPr="000E7424">
        <w:rPr>
          <w:rFonts w:ascii="Arial" w:hAnsi="Arial" w:cs="Arial"/>
        </w:rPr>
        <w:t xml:space="preserve">Where appropriate, locally agreed policies may supplement </w:t>
      </w:r>
      <w:proofErr w:type="spellStart"/>
      <w:r w:rsidRPr="000E7424">
        <w:rPr>
          <w:rFonts w:ascii="Arial" w:hAnsi="Arial" w:cs="Arial"/>
        </w:rPr>
        <w:t>AfC</w:t>
      </w:r>
      <w:proofErr w:type="spellEnd"/>
      <w:r w:rsidRPr="000E7424">
        <w:rPr>
          <w:rFonts w:ascii="Arial" w:hAnsi="Arial" w:cs="Arial"/>
        </w:rPr>
        <w:t xml:space="preserve"> arrangements, such as:</w:t>
      </w:r>
    </w:p>
    <w:p w14:paraId="728340FF" w14:textId="77777777" w:rsidR="00A36588" w:rsidRPr="006212E7" w:rsidRDefault="00A36588" w:rsidP="00A36588">
      <w:pPr>
        <w:pStyle w:val="ListParagraph"/>
        <w:widowControl w:val="0"/>
        <w:numPr>
          <w:ilvl w:val="0"/>
          <w:numId w:val="7"/>
        </w:numPr>
        <w:tabs>
          <w:tab w:val="left" w:pos="9552"/>
        </w:tabs>
        <w:autoSpaceDE w:val="0"/>
        <w:autoSpaceDN w:val="0"/>
        <w:spacing w:after="0" w:line="291" w:lineRule="exact"/>
        <w:rPr>
          <w:rFonts w:ascii="Arial" w:hAnsi="Arial" w:cs="Arial"/>
        </w:rPr>
      </w:pPr>
      <w:r w:rsidRPr="006212E7">
        <w:rPr>
          <w:rFonts w:ascii="Arial" w:hAnsi="Arial" w:cs="Arial"/>
        </w:rPr>
        <w:t>family friendly policies</w:t>
      </w:r>
    </w:p>
    <w:p w14:paraId="306171BF" w14:textId="77777777" w:rsidR="00A36588" w:rsidRPr="006212E7" w:rsidRDefault="00A36588" w:rsidP="00A36588">
      <w:pPr>
        <w:pStyle w:val="ListParagraph"/>
        <w:widowControl w:val="0"/>
        <w:numPr>
          <w:ilvl w:val="0"/>
          <w:numId w:val="7"/>
        </w:numPr>
        <w:tabs>
          <w:tab w:val="left" w:pos="9552"/>
        </w:tabs>
        <w:autoSpaceDE w:val="0"/>
        <w:autoSpaceDN w:val="0"/>
        <w:spacing w:after="0" w:line="291" w:lineRule="exact"/>
        <w:rPr>
          <w:rFonts w:ascii="Arial" w:hAnsi="Arial" w:cs="Arial"/>
        </w:rPr>
      </w:pPr>
      <w:r w:rsidRPr="006212E7">
        <w:rPr>
          <w:rFonts w:ascii="Arial" w:hAnsi="Arial" w:cs="Arial"/>
        </w:rPr>
        <w:t>evaluating job roles and pay grades as necessary to ensure a fair structure</w:t>
      </w:r>
    </w:p>
    <w:p w14:paraId="25558794" w14:textId="77777777" w:rsidR="00A36588" w:rsidRPr="006212E7" w:rsidRDefault="00A36588" w:rsidP="00A36588">
      <w:pPr>
        <w:pStyle w:val="ListParagraph"/>
        <w:widowControl w:val="0"/>
        <w:numPr>
          <w:ilvl w:val="0"/>
          <w:numId w:val="7"/>
        </w:numPr>
        <w:tabs>
          <w:tab w:val="left" w:pos="9552"/>
        </w:tabs>
        <w:autoSpaceDE w:val="0"/>
        <w:autoSpaceDN w:val="0"/>
        <w:spacing w:after="0" w:line="291" w:lineRule="exact"/>
        <w:rPr>
          <w:rFonts w:ascii="Arial" w:hAnsi="Arial" w:cs="Arial"/>
        </w:rPr>
      </w:pPr>
      <w:proofErr w:type="gramStart"/>
      <w:r w:rsidRPr="006212E7">
        <w:rPr>
          <w:rFonts w:ascii="Arial" w:hAnsi="Arial" w:cs="Arial"/>
        </w:rPr>
        <w:t>starting</w:t>
      </w:r>
      <w:proofErr w:type="gramEnd"/>
      <w:r w:rsidRPr="006212E7">
        <w:rPr>
          <w:rFonts w:ascii="Arial" w:hAnsi="Arial" w:cs="Arial"/>
        </w:rPr>
        <w:t xml:space="preserve"> salaries policy.</w:t>
      </w:r>
    </w:p>
    <w:p w14:paraId="5D3EEE6A" w14:textId="77777777" w:rsidR="00A36588" w:rsidRPr="000E7424" w:rsidRDefault="00A36588" w:rsidP="00A36588">
      <w:pPr>
        <w:tabs>
          <w:tab w:val="left" w:pos="9552"/>
        </w:tabs>
        <w:rPr>
          <w:rFonts w:ascii="Arial" w:hAnsi="Arial" w:cs="Arial"/>
          <w:b/>
          <w:u w:val="single"/>
        </w:rPr>
      </w:pPr>
    </w:p>
    <w:p w14:paraId="524D3472" w14:textId="77777777" w:rsidR="00A36588" w:rsidRPr="0081337E" w:rsidRDefault="00A36588" w:rsidP="00A36588">
      <w:pPr>
        <w:tabs>
          <w:tab w:val="left" w:pos="9552"/>
        </w:tabs>
        <w:rPr>
          <w:rFonts w:ascii="Arial" w:hAnsi="Arial" w:cs="Arial"/>
          <w:b/>
          <w:u w:val="single"/>
        </w:rPr>
      </w:pPr>
      <w:r w:rsidRPr="000E7424">
        <w:rPr>
          <w:rFonts w:ascii="Arial" w:hAnsi="Arial" w:cs="Arial"/>
          <w:b/>
          <w:u w:val="single"/>
        </w:rPr>
        <w:t>Medical and dental staff are employed on national Terms and Conditions of Ser</w:t>
      </w:r>
      <w:r>
        <w:rPr>
          <w:rFonts w:ascii="Arial" w:hAnsi="Arial" w:cs="Arial"/>
          <w:b/>
          <w:u w:val="single"/>
        </w:rPr>
        <w:t>vice (TCS) and pay arrangements</w:t>
      </w:r>
    </w:p>
    <w:p w14:paraId="76E1CE61" w14:textId="77777777" w:rsidR="00A36588" w:rsidRPr="000E7424" w:rsidRDefault="00A36588" w:rsidP="00A36588">
      <w:pPr>
        <w:tabs>
          <w:tab w:val="left" w:pos="9552"/>
        </w:tabs>
        <w:rPr>
          <w:rFonts w:ascii="Arial" w:hAnsi="Arial" w:cs="Arial"/>
        </w:rPr>
      </w:pPr>
      <w:r w:rsidRPr="000E7424">
        <w:rPr>
          <w:rFonts w:ascii="Arial" w:hAnsi="Arial" w:cs="Arial"/>
        </w:rPr>
        <w:t>These pay arrangements are negotiated nationally on behalf of employers by NHS Employers with the NHS trade unions. These terms and conditions include all consultants, medical and dental staff and doctors and dentists in training</w:t>
      </w:r>
    </w:p>
    <w:p w14:paraId="4FB75EB1" w14:textId="77777777" w:rsidR="00A36588" w:rsidRPr="000E7424" w:rsidRDefault="00A36588" w:rsidP="00A36588">
      <w:pPr>
        <w:tabs>
          <w:tab w:val="left" w:pos="9552"/>
        </w:tabs>
        <w:rPr>
          <w:rFonts w:ascii="Arial" w:hAnsi="Arial" w:cs="Arial"/>
          <w:b/>
          <w:u w:val="single"/>
        </w:rPr>
      </w:pPr>
      <w:r w:rsidRPr="000E7424">
        <w:rPr>
          <w:rFonts w:ascii="Arial" w:hAnsi="Arial" w:cs="Arial"/>
          <w:b/>
          <w:u w:val="single"/>
        </w:rPr>
        <w:t>Very senior managers (VSMs), Chairs and non-executive directors (NEDs)</w:t>
      </w:r>
    </w:p>
    <w:p w14:paraId="48B88517" w14:textId="77777777" w:rsidR="00A36588" w:rsidRPr="000E7424" w:rsidRDefault="00A36588" w:rsidP="00A36588">
      <w:pPr>
        <w:tabs>
          <w:tab w:val="left" w:pos="9552"/>
        </w:tabs>
        <w:rPr>
          <w:rFonts w:ascii="Arial" w:hAnsi="Arial" w:cs="Arial"/>
        </w:rPr>
      </w:pPr>
      <w:r w:rsidRPr="000E7424">
        <w:rPr>
          <w:rFonts w:ascii="Arial" w:hAnsi="Arial" w:cs="Arial"/>
        </w:rPr>
        <w:t>As an NHS Foundation Trust, EPUT is free to determine its own rates of pay for its VSMs, Chairs and NEDs. VSMs include chief executives, executive directors and other senior managers with board level responsibility who report directly to the chief executive.</w:t>
      </w:r>
    </w:p>
    <w:p w14:paraId="69D6A68F" w14:textId="77777777" w:rsidR="00A36588" w:rsidRPr="000E7424" w:rsidRDefault="00A36588" w:rsidP="00A36588">
      <w:pPr>
        <w:tabs>
          <w:tab w:val="left" w:pos="9552"/>
        </w:tabs>
        <w:rPr>
          <w:rFonts w:ascii="Arial" w:hAnsi="Arial" w:cs="Arial"/>
        </w:rPr>
      </w:pPr>
      <w:r w:rsidRPr="000E7424">
        <w:rPr>
          <w:rFonts w:ascii="Arial" w:hAnsi="Arial" w:cs="Arial"/>
        </w:rPr>
        <w:t>* Negative figures in the column ‘gender pay gap by pay band’ indicate a gender pay gap in favour of females.</w:t>
      </w:r>
    </w:p>
    <w:p w14:paraId="6AC0A8AB" w14:textId="77777777" w:rsidR="00A36588" w:rsidRPr="000E7424" w:rsidRDefault="00A36588" w:rsidP="00A36588">
      <w:pPr>
        <w:tabs>
          <w:tab w:val="left" w:pos="9552"/>
        </w:tabs>
        <w:rPr>
          <w:rFonts w:ascii="Arial" w:hAnsi="Arial" w:cs="Arial"/>
          <w:b/>
          <w:color w:val="005EB8"/>
          <w:sz w:val="28"/>
          <w:szCs w:val="28"/>
        </w:rPr>
      </w:pPr>
      <w:r w:rsidRPr="000E7424">
        <w:rPr>
          <w:rFonts w:ascii="Arial" w:hAnsi="Arial" w:cs="Arial"/>
          <w:b/>
          <w:color w:val="005EB8"/>
          <w:sz w:val="28"/>
          <w:szCs w:val="28"/>
        </w:rPr>
        <w:t>What is the data telling us?</w:t>
      </w:r>
    </w:p>
    <w:p w14:paraId="7C139776" w14:textId="77777777" w:rsidR="00A36588" w:rsidRPr="000E7424" w:rsidRDefault="00A36588" w:rsidP="00A36588">
      <w:pPr>
        <w:tabs>
          <w:tab w:val="left" w:pos="9552"/>
        </w:tabs>
        <w:rPr>
          <w:rFonts w:ascii="Arial" w:hAnsi="Arial" w:cs="Arial"/>
        </w:rPr>
      </w:pPr>
      <w:r>
        <w:rPr>
          <w:rFonts w:ascii="Arial" w:hAnsi="Arial" w:cs="Arial"/>
        </w:rPr>
        <w:t>The Gender Pay G</w:t>
      </w:r>
      <w:r w:rsidRPr="000E7424">
        <w:rPr>
          <w:rFonts w:ascii="Arial" w:hAnsi="Arial" w:cs="Arial"/>
        </w:rPr>
        <w:t>ap (GPG) report looks at the average and median rates of two key in</w:t>
      </w:r>
      <w:r>
        <w:rPr>
          <w:rFonts w:ascii="Arial" w:hAnsi="Arial" w:cs="Arial"/>
        </w:rPr>
        <w:t>dicators:</w:t>
      </w:r>
    </w:p>
    <w:p w14:paraId="16A686ED" w14:textId="77777777" w:rsidR="00A36588" w:rsidRDefault="00A36588" w:rsidP="00A36588">
      <w:pPr>
        <w:pStyle w:val="ListParagraph"/>
        <w:widowControl w:val="0"/>
        <w:numPr>
          <w:ilvl w:val="0"/>
          <w:numId w:val="11"/>
        </w:numPr>
        <w:tabs>
          <w:tab w:val="left" w:pos="9552"/>
        </w:tabs>
        <w:autoSpaceDE w:val="0"/>
        <w:autoSpaceDN w:val="0"/>
        <w:spacing w:after="0" w:line="291" w:lineRule="exact"/>
        <w:contextualSpacing w:val="0"/>
        <w:rPr>
          <w:rFonts w:ascii="Arial" w:hAnsi="Arial" w:cs="Arial"/>
        </w:rPr>
      </w:pPr>
      <w:r w:rsidRPr="000E7424">
        <w:rPr>
          <w:rFonts w:ascii="Arial" w:hAnsi="Arial" w:cs="Arial"/>
        </w:rPr>
        <w:t xml:space="preserve">The GPG hourly rate pay gap for EPUT is </w:t>
      </w:r>
      <w:r w:rsidRPr="000E7424">
        <w:rPr>
          <w:rFonts w:ascii="Arial" w:hAnsi="Arial" w:cs="Arial"/>
          <w:b/>
        </w:rPr>
        <w:t>12.93%</w:t>
      </w:r>
      <w:r w:rsidRPr="000E7424">
        <w:rPr>
          <w:rFonts w:ascii="Arial" w:hAnsi="Arial" w:cs="Arial"/>
        </w:rPr>
        <w:t xml:space="preserve">, with </w:t>
      </w:r>
      <w:r w:rsidRPr="000E7424">
        <w:rPr>
          <w:rFonts w:ascii="Arial" w:hAnsi="Arial" w:cs="Arial"/>
          <w:b/>
        </w:rPr>
        <w:t>males receiving an average of £20.61ph</w:t>
      </w:r>
      <w:r w:rsidRPr="000E7424">
        <w:rPr>
          <w:rFonts w:ascii="Arial" w:hAnsi="Arial" w:cs="Arial"/>
        </w:rPr>
        <w:t xml:space="preserve"> and </w:t>
      </w:r>
      <w:r w:rsidRPr="000E7424">
        <w:rPr>
          <w:rFonts w:ascii="Arial" w:hAnsi="Arial" w:cs="Arial"/>
          <w:b/>
        </w:rPr>
        <w:t>females receiving £17.24ph</w:t>
      </w:r>
      <w:r w:rsidRPr="000E7424">
        <w:rPr>
          <w:rFonts w:ascii="Arial" w:hAnsi="Arial" w:cs="Arial"/>
        </w:rPr>
        <w:t>. When comparing the median hourly rate this reduces to 7.31%. This is a reduction of 0.13% in the average percentage and the median has increased by 1.10% compared to 2022.</w:t>
      </w:r>
    </w:p>
    <w:p w14:paraId="0D92EBB9" w14:textId="77777777" w:rsidR="00A36588" w:rsidRPr="0081337E" w:rsidRDefault="00A36588" w:rsidP="00A36588">
      <w:pPr>
        <w:pStyle w:val="ListParagraph"/>
        <w:widowControl w:val="0"/>
        <w:tabs>
          <w:tab w:val="left" w:pos="9552"/>
        </w:tabs>
        <w:autoSpaceDE w:val="0"/>
        <w:autoSpaceDN w:val="0"/>
        <w:spacing w:after="0" w:line="291" w:lineRule="exact"/>
        <w:ind w:left="1080"/>
        <w:contextualSpacing w:val="0"/>
        <w:rPr>
          <w:rFonts w:ascii="Arial" w:hAnsi="Arial" w:cs="Arial"/>
        </w:rPr>
      </w:pPr>
    </w:p>
    <w:p w14:paraId="5869BF78" w14:textId="77777777" w:rsidR="00A36588" w:rsidRPr="000E7424" w:rsidRDefault="00A36588" w:rsidP="00A36588">
      <w:pPr>
        <w:tabs>
          <w:tab w:val="left" w:pos="9552"/>
        </w:tabs>
        <w:ind w:left="1080"/>
        <w:rPr>
          <w:rFonts w:ascii="Arial" w:hAnsi="Arial" w:cs="Arial"/>
          <w:b/>
        </w:rPr>
      </w:pPr>
      <w:r w:rsidRPr="000E7424">
        <w:rPr>
          <w:rFonts w:ascii="Arial" w:hAnsi="Arial" w:cs="Arial"/>
        </w:rPr>
        <w:t xml:space="preserve">This result means that </w:t>
      </w:r>
      <w:r w:rsidRPr="000E7424">
        <w:rPr>
          <w:rFonts w:ascii="Arial" w:hAnsi="Arial" w:cs="Arial"/>
          <w:b/>
        </w:rPr>
        <w:t>men on average are being paid 7.31% higher in the organisation than females.</w:t>
      </w:r>
    </w:p>
    <w:p w14:paraId="6BE33F53" w14:textId="77777777" w:rsidR="00A36588" w:rsidRPr="000E7424" w:rsidRDefault="00A36588" w:rsidP="00A36588">
      <w:pPr>
        <w:pStyle w:val="ListParagraph"/>
        <w:widowControl w:val="0"/>
        <w:numPr>
          <w:ilvl w:val="0"/>
          <w:numId w:val="11"/>
        </w:numPr>
        <w:tabs>
          <w:tab w:val="left" w:pos="9552"/>
        </w:tabs>
        <w:autoSpaceDE w:val="0"/>
        <w:autoSpaceDN w:val="0"/>
        <w:spacing w:after="0" w:line="291" w:lineRule="exact"/>
        <w:contextualSpacing w:val="0"/>
        <w:rPr>
          <w:rFonts w:ascii="Arial" w:hAnsi="Arial" w:cs="Arial"/>
        </w:rPr>
      </w:pPr>
      <w:r w:rsidRPr="000E7424">
        <w:rPr>
          <w:rFonts w:ascii="Arial" w:hAnsi="Arial" w:cs="Arial"/>
        </w:rPr>
        <w:t xml:space="preserve">The GPG </w:t>
      </w:r>
      <w:r w:rsidRPr="000E7424">
        <w:rPr>
          <w:rFonts w:ascii="Arial" w:hAnsi="Arial" w:cs="Arial"/>
          <w:b/>
        </w:rPr>
        <w:t>bonus pay gap for EPUT is 56.01%</w:t>
      </w:r>
      <w:r w:rsidRPr="000E7424">
        <w:rPr>
          <w:rFonts w:ascii="Arial" w:hAnsi="Arial" w:cs="Arial"/>
        </w:rPr>
        <w:t xml:space="preserve">, with </w:t>
      </w:r>
      <w:r w:rsidRPr="000E7424">
        <w:rPr>
          <w:rFonts w:ascii="Arial" w:hAnsi="Arial" w:cs="Arial"/>
          <w:b/>
        </w:rPr>
        <w:t>males receiving an average bonus pay of £9,449.11</w:t>
      </w:r>
      <w:r w:rsidRPr="000E7424">
        <w:rPr>
          <w:rFonts w:ascii="Arial" w:hAnsi="Arial" w:cs="Arial"/>
        </w:rPr>
        <w:t xml:space="preserve"> compared to </w:t>
      </w:r>
      <w:r w:rsidRPr="000E7424">
        <w:rPr>
          <w:rFonts w:ascii="Arial" w:hAnsi="Arial" w:cs="Arial"/>
          <w:b/>
        </w:rPr>
        <w:t>£4,157.12 for females</w:t>
      </w:r>
      <w:r w:rsidRPr="000E7424">
        <w:rPr>
          <w:rFonts w:ascii="Arial" w:hAnsi="Arial" w:cs="Arial"/>
        </w:rPr>
        <w:t>. When comparing the median rate this increases to 66.84%. The average percentage has reduced by 3.49% and the median has reduced by 12.76% compared to 2022.</w:t>
      </w:r>
    </w:p>
    <w:p w14:paraId="0801401A" w14:textId="77777777" w:rsidR="00A36588" w:rsidRPr="000E7424" w:rsidRDefault="00A36588" w:rsidP="00A36588">
      <w:pPr>
        <w:pStyle w:val="ListParagraph"/>
        <w:widowControl w:val="0"/>
        <w:tabs>
          <w:tab w:val="left" w:pos="9552"/>
        </w:tabs>
        <w:autoSpaceDE w:val="0"/>
        <w:autoSpaceDN w:val="0"/>
        <w:spacing w:after="0" w:line="291" w:lineRule="exact"/>
        <w:ind w:left="1080"/>
        <w:contextualSpacing w:val="0"/>
        <w:rPr>
          <w:rFonts w:ascii="Arial" w:hAnsi="Arial" w:cs="Arial"/>
        </w:rPr>
      </w:pPr>
    </w:p>
    <w:p w14:paraId="3304DD1E" w14:textId="77777777" w:rsidR="00A36588" w:rsidRPr="000E7424" w:rsidRDefault="00A36588" w:rsidP="00A36588">
      <w:pPr>
        <w:tabs>
          <w:tab w:val="left" w:pos="9552"/>
        </w:tabs>
        <w:ind w:left="1080"/>
        <w:rPr>
          <w:rFonts w:ascii="Arial" w:hAnsi="Arial" w:cs="Arial"/>
        </w:rPr>
      </w:pPr>
      <w:r w:rsidRPr="000E7424">
        <w:rPr>
          <w:rFonts w:ascii="Arial" w:hAnsi="Arial" w:cs="Arial"/>
        </w:rPr>
        <w:t xml:space="preserve">This result means that </w:t>
      </w:r>
      <w:r w:rsidRPr="000E7424">
        <w:rPr>
          <w:rFonts w:ascii="Arial" w:hAnsi="Arial" w:cs="Arial"/>
          <w:b/>
        </w:rPr>
        <w:t>men are on average receiving a 66.64% increase on bonus pay than females</w:t>
      </w:r>
      <w:r w:rsidRPr="000E7424">
        <w:rPr>
          <w:rFonts w:ascii="Arial" w:hAnsi="Arial" w:cs="Arial"/>
        </w:rPr>
        <w:t xml:space="preserve"> within the org</w:t>
      </w:r>
      <w:r>
        <w:rPr>
          <w:rFonts w:ascii="Arial" w:hAnsi="Arial" w:cs="Arial"/>
        </w:rPr>
        <w:t>anis</w:t>
      </w:r>
      <w:r w:rsidRPr="000E7424">
        <w:rPr>
          <w:rFonts w:ascii="Arial" w:hAnsi="Arial" w:cs="Arial"/>
        </w:rPr>
        <w:t>ation.</w:t>
      </w:r>
    </w:p>
    <w:p w14:paraId="5CA3A02A" w14:textId="77777777" w:rsidR="00A36588" w:rsidRPr="000E7424" w:rsidRDefault="00A36588" w:rsidP="00A36588">
      <w:pPr>
        <w:pStyle w:val="ListParagraph"/>
        <w:widowControl w:val="0"/>
        <w:numPr>
          <w:ilvl w:val="0"/>
          <w:numId w:val="11"/>
        </w:numPr>
        <w:tabs>
          <w:tab w:val="left" w:pos="9552"/>
        </w:tabs>
        <w:autoSpaceDE w:val="0"/>
        <w:autoSpaceDN w:val="0"/>
        <w:spacing w:after="0" w:line="291" w:lineRule="exact"/>
        <w:contextualSpacing w:val="0"/>
        <w:rPr>
          <w:rFonts w:ascii="Arial" w:hAnsi="Arial" w:cs="Arial"/>
        </w:rPr>
      </w:pPr>
      <w:r w:rsidRPr="000E7424">
        <w:rPr>
          <w:rFonts w:ascii="Arial" w:hAnsi="Arial" w:cs="Arial"/>
        </w:rPr>
        <w:t xml:space="preserve">A total of </w:t>
      </w:r>
      <w:r w:rsidRPr="000E7424">
        <w:rPr>
          <w:rFonts w:ascii="Arial" w:hAnsi="Arial" w:cs="Arial"/>
          <w:b/>
        </w:rPr>
        <w:t>2.07% of males received a bonus compared to 0.36% of females</w:t>
      </w:r>
      <w:r w:rsidRPr="000E7424">
        <w:rPr>
          <w:rFonts w:ascii="Arial" w:hAnsi="Arial" w:cs="Arial"/>
        </w:rPr>
        <w:t xml:space="preserve"> during the reporting period. </w:t>
      </w:r>
    </w:p>
    <w:p w14:paraId="0C44440D" w14:textId="77777777" w:rsidR="00A36588" w:rsidRPr="000E7424" w:rsidRDefault="00A36588" w:rsidP="00A36588">
      <w:pPr>
        <w:tabs>
          <w:tab w:val="left" w:pos="9552"/>
        </w:tabs>
        <w:rPr>
          <w:rFonts w:ascii="Arial" w:hAnsi="Arial" w:cs="Arial"/>
        </w:rPr>
      </w:pPr>
    </w:p>
    <w:p w14:paraId="31F36391" w14:textId="77777777" w:rsidR="00A36588" w:rsidRPr="000E7424" w:rsidRDefault="00A36588" w:rsidP="00A36588">
      <w:pPr>
        <w:tabs>
          <w:tab w:val="left" w:pos="9552"/>
        </w:tabs>
        <w:ind w:left="1080"/>
        <w:rPr>
          <w:rFonts w:ascii="Arial" w:hAnsi="Arial" w:cs="Arial"/>
        </w:rPr>
      </w:pPr>
      <w:r w:rsidRPr="000E7424">
        <w:rPr>
          <w:rFonts w:ascii="Arial" w:hAnsi="Arial" w:cs="Arial"/>
        </w:rPr>
        <w:t>Bonus payments include elements of doctors pay, this staff group have a higher number of male employees, therefore increasing the bonus pay gap in comparison to other staff groups within the trust. The bonus pay elements are as follows:</w:t>
      </w:r>
    </w:p>
    <w:p w14:paraId="613F7808" w14:textId="77777777" w:rsidR="00A36588" w:rsidRPr="000E7424" w:rsidRDefault="00A36588" w:rsidP="00A36588">
      <w:pPr>
        <w:pStyle w:val="ListParagraph"/>
        <w:widowControl w:val="0"/>
        <w:numPr>
          <w:ilvl w:val="2"/>
          <w:numId w:val="9"/>
        </w:numPr>
        <w:tabs>
          <w:tab w:val="left" w:pos="9552"/>
        </w:tabs>
        <w:autoSpaceDE w:val="0"/>
        <w:autoSpaceDN w:val="0"/>
        <w:spacing w:after="0" w:line="291" w:lineRule="exact"/>
        <w:contextualSpacing w:val="0"/>
        <w:rPr>
          <w:rFonts w:ascii="Arial" w:hAnsi="Arial" w:cs="Arial"/>
        </w:rPr>
      </w:pPr>
      <w:r w:rsidRPr="000E7424">
        <w:rPr>
          <w:rFonts w:ascii="Arial" w:hAnsi="Arial" w:cs="Arial"/>
        </w:rPr>
        <w:t>Clinical Excellence Awards</w:t>
      </w:r>
    </w:p>
    <w:p w14:paraId="5AECBA40" w14:textId="77777777" w:rsidR="00A36588" w:rsidRPr="000E7424" w:rsidRDefault="00A36588" w:rsidP="00A36588">
      <w:pPr>
        <w:pStyle w:val="ListParagraph"/>
        <w:widowControl w:val="0"/>
        <w:numPr>
          <w:ilvl w:val="2"/>
          <w:numId w:val="9"/>
        </w:numPr>
        <w:tabs>
          <w:tab w:val="left" w:pos="9552"/>
        </w:tabs>
        <w:autoSpaceDE w:val="0"/>
        <w:autoSpaceDN w:val="0"/>
        <w:spacing w:after="0" w:line="291" w:lineRule="exact"/>
        <w:contextualSpacing w:val="0"/>
        <w:rPr>
          <w:rFonts w:ascii="Arial" w:hAnsi="Arial" w:cs="Arial"/>
        </w:rPr>
      </w:pPr>
      <w:r w:rsidRPr="000E7424">
        <w:rPr>
          <w:rFonts w:ascii="Arial" w:hAnsi="Arial" w:cs="Arial"/>
        </w:rPr>
        <w:t>Discretionary Points</w:t>
      </w:r>
    </w:p>
    <w:p w14:paraId="46B1FFF1" w14:textId="77777777" w:rsidR="00A36588" w:rsidRPr="000E7424" w:rsidRDefault="00A36588" w:rsidP="00A36588">
      <w:pPr>
        <w:pStyle w:val="ListParagraph"/>
        <w:widowControl w:val="0"/>
        <w:numPr>
          <w:ilvl w:val="2"/>
          <w:numId w:val="9"/>
        </w:numPr>
        <w:tabs>
          <w:tab w:val="left" w:pos="9552"/>
        </w:tabs>
        <w:autoSpaceDE w:val="0"/>
        <w:autoSpaceDN w:val="0"/>
        <w:spacing w:after="0" w:line="291" w:lineRule="exact"/>
        <w:contextualSpacing w:val="0"/>
        <w:rPr>
          <w:rFonts w:ascii="Arial" w:hAnsi="Arial" w:cs="Arial"/>
        </w:rPr>
      </w:pPr>
      <w:r w:rsidRPr="000E7424">
        <w:rPr>
          <w:rFonts w:ascii="Arial" w:hAnsi="Arial" w:cs="Arial"/>
        </w:rPr>
        <w:t>Performance Related Pay</w:t>
      </w:r>
      <w:r>
        <w:rPr>
          <w:rFonts w:ascii="Arial" w:hAnsi="Arial" w:cs="Arial"/>
        </w:rPr>
        <w:t>.</w:t>
      </w:r>
    </w:p>
    <w:p w14:paraId="35B4A076" w14:textId="77777777" w:rsidR="00A36588" w:rsidRPr="000E7424" w:rsidRDefault="00A36588" w:rsidP="00A36588">
      <w:pPr>
        <w:pStyle w:val="BodyText"/>
        <w:tabs>
          <w:tab w:val="left" w:pos="9552"/>
        </w:tabs>
        <w:spacing w:before="3"/>
        <w:rPr>
          <w:rFonts w:ascii="Arial" w:hAnsi="Arial" w:cs="Arial"/>
          <w:sz w:val="23"/>
        </w:rPr>
      </w:pPr>
    </w:p>
    <w:p w14:paraId="6D7C9586" w14:textId="77777777" w:rsidR="00A36588" w:rsidRPr="000E7424" w:rsidRDefault="00A36588" w:rsidP="00A36588">
      <w:pPr>
        <w:tabs>
          <w:tab w:val="left" w:pos="9552"/>
        </w:tabs>
        <w:rPr>
          <w:rFonts w:ascii="Arial" w:hAnsi="Arial" w:cs="Arial"/>
        </w:rPr>
      </w:pPr>
      <w:r w:rsidRPr="000E7424">
        <w:rPr>
          <w:rFonts w:ascii="Arial" w:hAnsi="Arial" w:cs="Arial"/>
        </w:rPr>
        <w:t>Positively, over the past fifteen years there has been significant growth in the percentage of women in medical roles, which should see the gender bonus pay gap diminish with time:</w:t>
      </w:r>
    </w:p>
    <w:p w14:paraId="5F811A88" w14:textId="77777777" w:rsidR="00A36588" w:rsidRPr="000E7424" w:rsidRDefault="00A36588" w:rsidP="00A36588">
      <w:pPr>
        <w:pStyle w:val="ListParagraph"/>
        <w:widowControl w:val="0"/>
        <w:numPr>
          <w:ilvl w:val="0"/>
          <w:numId w:val="11"/>
        </w:numPr>
        <w:tabs>
          <w:tab w:val="left" w:pos="9552"/>
        </w:tabs>
        <w:autoSpaceDE w:val="0"/>
        <w:autoSpaceDN w:val="0"/>
        <w:spacing w:after="0" w:line="291" w:lineRule="exact"/>
        <w:contextualSpacing w:val="0"/>
        <w:rPr>
          <w:rFonts w:ascii="Arial" w:hAnsi="Arial" w:cs="Arial"/>
        </w:rPr>
      </w:pPr>
      <w:r w:rsidRPr="000E7424">
        <w:rPr>
          <w:rFonts w:ascii="Arial" w:hAnsi="Arial" w:cs="Arial"/>
          <w:b/>
        </w:rPr>
        <w:t>Female medical workforce</w:t>
      </w:r>
      <w:r w:rsidRPr="000E7424">
        <w:rPr>
          <w:rFonts w:ascii="Arial" w:hAnsi="Arial" w:cs="Arial"/>
        </w:rPr>
        <w:t xml:space="preserve"> – </w:t>
      </w:r>
      <w:r w:rsidRPr="00E45D8F">
        <w:rPr>
          <w:rFonts w:ascii="Arial" w:hAnsi="Arial" w:cs="Arial"/>
          <w:b/>
        </w:rPr>
        <w:t>17.7% growth</w:t>
      </w:r>
      <w:r w:rsidRPr="000E7424">
        <w:rPr>
          <w:rFonts w:ascii="Arial" w:hAnsi="Arial" w:cs="Arial"/>
        </w:rPr>
        <w:t xml:space="preserve"> from 31.2% in 2008 to 48.9% in 2023, although this is a reduction on the 2022 figure of 49.4%</w:t>
      </w:r>
    </w:p>
    <w:p w14:paraId="76E3C020" w14:textId="77777777" w:rsidR="00A36588" w:rsidRPr="000E7424" w:rsidRDefault="00A36588" w:rsidP="00A36588">
      <w:pPr>
        <w:pStyle w:val="ListParagraph"/>
        <w:widowControl w:val="0"/>
        <w:numPr>
          <w:ilvl w:val="0"/>
          <w:numId w:val="11"/>
        </w:numPr>
        <w:tabs>
          <w:tab w:val="left" w:pos="9552"/>
        </w:tabs>
        <w:autoSpaceDE w:val="0"/>
        <w:autoSpaceDN w:val="0"/>
        <w:spacing w:after="0" w:line="291" w:lineRule="exact"/>
        <w:contextualSpacing w:val="0"/>
        <w:rPr>
          <w:rFonts w:ascii="Arial" w:hAnsi="Arial" w:cs="Arial"/>
        </w:rPr>
      </w:pPr>
      <w:r w:rsidRPr="000E7424">
        <w:rPr>
          <w:rFonts w:ascii="Arial" w:hAnsi="Arial" w:cs="Arial"/>
          <w:b/>
        </w:rPr>
        <w:t>Female medical consultants</w:t>
      </w:r>
      <w:r w:rsidRPr="000E7424">
        <w:rPr>
          <w:rFonts w:ascii="Arial" w:hAnsi="Arial" w:cs="Arial"/>
        </w:rPr>
        <w:t xml:space="preserve"> – </w:t>
      </w:r>
      <w:r w:rsidRPr="00E45D8F">
        <w:rPr>
          <w:rFonts w:ascii="Arial" w:hAnsi="Arial" w:cs="Arial"/>
          <w:b/>
        </w:rPr>
        <w:t>13.0% growth</w:t>
      </w:r>
      <w:r w:rsidRPr="000E7424">
        <w:rPr>
          <w:rFonts w:ascii="Arial" w:hAnsi="Arial" w:cs="Arial"/>
        </w:rPr>
        <w:t xml:space="preserve"> from 22.7% in 2008 to 35.6% in 2023, although this is a reduction on the 2022 figure of 36.1%.</w:t>
      </w:r>
    </w:p>
    <w:p w14:paraId="1A4E7AF9" w14:textId="77777777" w:rsidR="00A36588" w:rsidRPr="000E7424" w:rsidRDefault="00A36588" w:rsidP="00A36588">
      <w:pPr>
        <w:tabs>
          <w:tab w:val="left" w:pos="9552"/>
        </w:tabs>
        <w:rPr>
          <w:rFonts w:ascii="Arial" w:hAnsi="Arial" w:cs="Arial"/>
        </w:rPr>
      </w:pPr>
    </w:p>
    <w:p w14:paraId="4FD052EF" w14:textId="77777777" w:rsidR="00A36588" w:rsidRPr="000E7424" w:rsidRDefault="00A36588" w:rsidP="00A36588">
      <w:pPr>
        <w:tabs>
          <w:tab w:val="left" w:pos="9552"/>
        </w:tabs>
        <w:rPr>
          <w:rFonts w:ascii="Arial" w:hAnsi="Arial" w:cs="Arial"/>
        </w:rPr>
      </w:pPr>
      <w:r w:rsidRPr="000E7424">
        <w:rPr>
          <w:rFonts w:ascii="Arial" w:hAnsi="Arial" w:cs="Arial"/>
        </w:rPr>
        <w:t xml:space="preserve">The current gender breakdown for our medical workforce is as follows. </w:t>
      </w:r>
    </w:p>
    <w:tbl>
      <w:tblPr>
        <w:tblW w:w="0" w:type="auto"/>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1"/>
        <w:gridCol w:w="1458"/>
        <w:gridCol w:w="961"/>
      </w:tblGrid>
      <w:tr w:rsidR="00A36588" w:rsidRPr="000E7424" w14:paraId="303BF90F" w14:textId="77777777" w:rsidTr="00181181">
        <w:trPr>
          <w:trHeight w:val="284"/>
        </w:trPr>
        <w:tc>
          <w:tcPr>
            <w:tcW w:w="1891" w:type="dxa"/>
            <w:shd w:val="clear" w:color="auto" w:fill="4F81BD" w:themeFill="accent1"/>
          </w:tcPr>
          <w:p w14:paraId="060A88AC" w14:textId="77777777" w:rsidR="00A36588" w:rsidRPr="000E7424" w:rsidRDefault="00A36588" w:rsidP="00181181">
            <w:pPr>
              <w:tabs>
                <w:tab w:val="left" w:pos="9552"/>
              </w:tabs>
              <w:rPr>
                <w:rFonts w:ascii="Arial" w:hAnsi="Arial" w:cs="Arial"/>
                <w:b/>
              </w:rPr>
            </w:pPr>
            <w:r w:rsidRPr="000E7424">
              <w:rPr>
                <w:rFonts w:ascii="Arial" w:hAnsi="Arial" w:cs="Arial"/>
                <w:b/>
              </w:rPr>
              <w:t>Gender</w:t>
            </w:r>
          </w:p>
        </w:tc>
        <w:tc>
          <w:tcPr>
            <w:tcW w:w="1458" w:type="dxa"/>
            <w:shd w:val="clear" w:color="auto" w:fill="4F81BD" w:themeFill="accent1"/>
          </w:tcPr>
          <w:p w14:paraId="5D29ECE6" w14:textId="77777777" w:rsidR="00A36588" w:rsidRPr="000E7424" w:rsidRDefault="00A36588" w:rsidP="00181181">
            <w:pPr>
              <w:tabs>
                <w:tab w:val="left" w:pos="9552"/>
              </w:tabs>
              <w:rPr>
                <w:rFonts w:ascii="Arial" w:hAnsi="Arial" w:cs="Arial"/>
                <w:b/>
              </w:rPr>
            </w:pPr>
            <w:r w:rsidRPr="000E7424">
              <w:rPr>
                <w:rFonts w:ascii="Arial" w:hAnsi="Arial" w:cs="Arial"/>
                <w:b/>
              </w:rPr>
              <w:t>Headcount</w:t>
            </w:r>
          </w:p>
        </w:tc>
        <w:tc>
          <w:tcPr>
            <w:tcW w:w="961" w:type="dxa"/>
            <w:shd w:val="clear" w:color="auto" w:fill="4F81BD" w:themeFill="accent1"/>
          </w:tcPr>
          <w:p w14:paraId="2C721929" w14:textId="77777777" w:rsidR="00A36588" w:rsidRPr="000E7424" w:rsidRDefault="00A36588" w:rsidP="00181181">
            <w:pPr>
              <w:tabs>
                <w:tab w:val="left" w:pos="9552"/>
              </w:tabs>
              <w:rPr>
                <w:rFonts w:ascii="Arial" w:hAnsi="Arial" w:cs="Arial"/>
                <w:b/>
              </w:rPr>
            </w:pPr>
            <w:r w:rsidRPr="000E7424">
              <w:rPr>
                <w:rFonts w:ascii="Arial" w:hAnsi="Arial" w:cs="Arial"/>
                <w:b/>
              </w:rPr>
              <w:t>%</w:t>
            </w:r>
          </w:p>
        </w:tc>
      </w:tr>
      <w:tr w:rsidR="00A36588" w:rsidRPr="000E7424" w14:paraId="6B258FD1" w14:textId="77777777" w:rsidTr="00181181">
        <w:trPr>
          <w:trHeight w:val="284"/>
        </w:trPr>
        <w:tc>
          <w:tcPr>
            <w:tcW w:w="1891" w:type="dxa"/>
          </w:tcPr>
          <w:p w14:paraId="07CE9303" w14:textId="77777777" w:rsidR="00A36588" w:rsidRPr="000E7424" w:rsidRDefault="00A36588" w:rsidP="00181181">
            <w:pPr>
              <w:tabs>
                <w:tab w:val="left" w:pos="9552"/>
              </w:tabs>
              <w:rPr>
                <w:rFonts w:ascii="Arial" w:hAnsi="Arial" w:cs="Arial"/>
              </w:rPr>
            </w:pPr>
            <w:r w:rsidRPr="000E7424">
              <w:rPr>
                <w:rFonts w:ascii="Arial" w:hAnsi="Arial" w:cs="Arial"/>
              </w:rPr>
              <w:t>Female</w:t>
            </w:r>
          </w:p>
        </w:tc>
        <w:tc>
          <w:tcPr>
            <w:tcW w:w="1458" w:type="dxa"/>
          </w:tcPr>
          <w:p w14:paraId="1AEA9669" w14:textId="77777777" w:rsidR="00A36588" w:rsidRPr="000E7424" w:rsidRDefault="00A36588" w:rsidP="00181181">
            <w:pPr>
              <w:tabs>
                <w:tab w:val="left" w:pos="9552"/>
              </w:tabs>
              <w:rPr>
                <w:rFonts w:ascii="Arial" w:hAnsi="Arial" w:cs="Arial"/>
              </w:rPr>
            </w:pPr>
            <w:r w:rsidRPr="000E7424">
              <w:rPr>
                <w:rFonts w:ascii="Arial" w:hAnsi="Arial" w:cs="Arial"/>
              </w:rPr>
              <w:t>149</w:t>
            </w:r>
          </w:p>
        </w:tc>
        <w:tc>
          <w:tcPr>
            <w:tcW w:w="961" w:type="dxa"/>
          </w:tcPr>
          <w:p w14:paraId="3498F617" w14:textId="77777777" w:rsidR="00A36588" w:rsidRPr="000E7424" w:rsidRDefault="00A36588" w:rsidP="00181181">
            <w:pPr>
              <w:tabs>
                <w:tab w:val="left" w:pos="9552"/>
              </w:tabs>
              <w:rPr>
                <w:rFonts w:ascii="Arial" w:hAnsi="Arial" w:cs="Arial"/>
              </w:rPr>
            </w:pPr>
            <w:r w:rsidRPr="000E7424">
              <w:rPr>
                <w:rFonts w:ascii="Arial" w:hAnsi="Arial" w:cs="Arial"/>
              </w:rPr>
              <w:t>48.9%</w:t>
            </w:r>
          </w:p>
        </w:tc>
      </w:tr>
      <w:tr w:rsidR="00A36588" w:rsidRPr="000E7424" w14:paraId="1033116B" w14:textId="77777777" w:rsidTr="00181181">
        <w:trPr>
          <w:trHeight w:val="284"/>
        </w:trPr>
        <w:tc>
          <w:tcPr>
            <w:tcW w:w="1891" w:type="dxa"/>
          </w:tcPr>
          <w:p w14:paraId="1B0B3F5C" w14:textId="77777777" w:rsidR="00A36588" w:rsidRPr="000E7424" w:rsidRDefault="00A36588" w:rsidP="00181181">
            <w:pPr>
              <w:tabs>
                <w:tab w:val="left" w:pos="9552"/>
              </w:tabs>
              <w:rPr>
                <w:rFonts w:ascii="Arial" w:hAnsi="Arial" w:cs="Arial"/>
              </w:rPr>
            </w:pPr>
            <w:r w:rsidRPr="000E7424">
              <w:rPr>
                <w:rFonts w:ascii="Arial" w:hAnsi="Arial" w:cs="Arial"/>
              </w:rPr>
              <w:t>Male</w:t>
            </w:r>
          </w:p>
        </w:tc>
        <w:tc>
          <w:tcPr>
            <w:tcW w:w="1458" w:type="dxa"/>
          </w:tcPr>
          <w:p w14:paraId="198A7EC5" w14:textId="77777777" w:rsidR="00A36588" w:rsidRPr="000E7424" w:rsidRDefault="00A36588" w:rsidP="00181181">
            <w:pPr>
              <w:tabs>
                <w:tab w:val="left" w:pos="9552"/>
              </w:tabs>
              <w:rPr>
                <w:rFonts w:ascii="Arial" w:hAnsi="Arial" w:cs="Arial"/>
              </w:rPr>
            </w:pPr>
            <w:r w:rsidRPr="000E7424">
              <w:rPr>
                <w:rFonts w:ascii="Arial" w:hAnsi="Arial" w:cs="Arial"/>
              </w:rPr>
              <w:t>156</w:t>
            </w:r>
          </w:p>
        </w:tc>
        <w:tc>
          <w:tcPr>
            <w:tcW w:w="961" w:type="dxa"/>
          </w:tcPr>
          <w:p w14:paraId="712E16F1" w14:textId="77777777" w:rsidR="00A36588" w:rsidRPr="000E7424" w:rsidRDefault="00A36588" w:rsidP="00181181">
            <w:pPr>
              <w:tabs>
                <w:tab w:val="left" w:pos="9552"/>
              </w:tabs>
              <w:rPr>
                <w:rFonts w:ascii="Arial" w:hAnsi="Arial" w:cs="Arial"/>
              </w:rPr>
            </w:pPr>
            <w:r w:rsidRPr="000E7424">
              <w:rPr>
                <w:rFonts w:ascii="Arial" w:hAnsi="Arial" w:cs="Arial"/>
              </w:rPr>
              <w:t>51.1%</w:t>
            </w:r>
          </w:p>
        </w:tc>
      </w:tr>
      <w:tr w:rsidR="00A36588" w:rsidRPr="000E7424" w14:paraId="4B70D58C" w14:textId="77777777" w:rsidTr="00181181">
        <w:trPr>
          <w:trHeight w:val="268"/>
        </w:trPr>
        <w:tc>
          <w:tcPr>
            <w:tcW w:w="1891" w:type="dxa"/>
          </w:tcPr>
          <w:p w14:paraId="122FDEB6" w14:textId="77777777" w:rsidR="00A36588" w:rsidRPr="000E7424" w:rsidRDefault="00A36588" w:rsidP="00181181">
            <w:pPr>
              <w:tabs>
                <w:tab w:val="left" w:pos="9552"/>
              </w:tabs>
              <w:rPr>
                <w:rFonts w:ascii="Arial" w:hAnsi="Arial" w:cs="Arial"/>
              </w:rPr>
            </w:pPr>
            <w:r w:rsidRPr="000E7424">
              <w:rPr>
                <w:rFonts w:ascii="Arial" w:hAnsi="Arial" w:cs="Arial"/>
              </w:rPr>
              <w:t>TOTAL</w:t>
            </w:r>
          </w:p>
        </w:tc>
        <w:tc>
          <w:tcPr>
            <w:tcW w:w="1458" w:type="dxa"/>
          </w:tcPr>
          <w:p w14:paraId="517F9F5E" w14:textId="77777777" w:rsidR="00A36588" w:rsidRPr="000E7424" w:rsidRDefault="00A36588" w:rsidP="00181181">
            <w:pPr>
              <w:tabs>
                <w:tab w:val="left" w:pos="9552"/>
              </w:tabs>
              <w:rPr>
                <w:rFonts w:ascii="Arial" w:hAnsi="Arial" w:cs="Arial"/>
              </w:rPr>
            </w:pPr>
            <w:r w:rsidRPr="000E7424">
              <w:rPr>
                <w:rFonts w:ascii="Arial" w:hAnsi="Arial" w:cs="Arial"/>
              </w:rPr>
              <w:t>305</w:t>
            </w:r>
          </w:p>
        </w:tc>
        <w:tc>
          <w:tcPr>
            <w:tcW w:w="961" w:type="dxa"/>
          </w:tcPr>
          <w:p w14:paraId="2811BC48" w14:textId="77777777" w:rsidR="00A36588" w:rsidRPr="000E7424" w:rsidRDefault="00A36588" w:rsidP="00181181">
            <w:pPr>
              <w:tabs>
                <w:tab w:val="left" w:pos="9552"/>
              </w:tabs>
              <w:rPr>
                <w:rFonts w:ascii="Arial" w:hAnsi="Arial" w:cs="Arial"/>
              </w:rPr>
            </w:pPr>
          </w:p>
        </w:tc>
      </w:tr>
    </w:tbl>
    <w:p w14:paraId="42BD28F6" w14:textId="77777777" w:rsidR="00A36588" w:rsidRPr="000E7424" w:rsidRDefault="00A36588" w:rsidP="00A36588">
      <w:pPr>
        <w:tabs>
          <w:tab w:val="left" w:pos="9552"/>
        </w:tabs>
        <w:rPr>
          <w:rFonts w:ascii="Arial" w:hAnsi="Arial" w:cs="Arial"/>
        </w:rPr>
      </w:pPr>
    </w:p>
    <w:p w14:paraId="6DD93BAF" w14:textId="77777777" w:rsidR="00A36588" w:rsidRPr="00F651CD" w:rsidRDefault="00A36588" w:rsidP="00A36588">
      <w:pPr>
        <w:tabs>
          <w:tab w:val="left" w:pos="9552"/>
        </w:tabs>
        <w:rPr>
          <w:rFonts w:ascii="Arial" w:hAnsi="Arial" w:cs="Arial"/>
        </w:rPr>
      </w:pPr>
      <w:r w:rsidRPr="00F651CD">
        <w:rPr>
          <w:rFonts w:ascii="Arial" w:hAnsi="Arial" w:cs="Arial"/>
        </w:rPr>
        <w:t>Whilst there has been a growth in the female consultant medical workforce, the legacy of the CEA scheme means that there will continue to be a gender bonus pay gap because there are more male consultants than female consultants. The Trusts current medical consultant gender breakdown is detailed in the table below.</w:t>
      </w:r>
    </w:p>
    <w:tbl>
      <w:tblPr>
        <w:tblW w:w="0" w:type="auto"/>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5"/>
        <w:gridCol w:w="1276"/>
        <w:gridCol w:w="850"/>
        <w:gridCol w:w="1276"/>
        <w:gridCol w:w="992"/>
        <w:gridCol w:w="1559"/>
      </w:tblGrid>
      <w:tr w:rsidR="00A36588" w:rsidRPr="00F651CD" w14:paraId="05E1DBAF" w14:textId="77777777" w:rsidTr="00181181">
        <w:trPr>
          <w:trHeight w:val="283"/>
        </w:trPr>
        <w:tc>
          <w:tcPr>
            <w:tcW w:w="1175" w:type="dxa"/>
            <w:shd w:val="clear" w:color="auto" w:fill="4F81BD" w:themeFill="accent1"/>
          </w:tcPr>
          <w:p w14:paraId="41D38C01" w14:textId="77777777" w:rsidR="00A36588" w:rsidRPr="00F651CD" w:rsidRDefault="00A36588" w:rsidP="00181181">
            <w:pPr>
              <w:tabs>
                <w:tab w:val="left" w:pos="9552"/>
              </w:tabs>
              <w:rPr>
                <w:rFonts w:ascii="Arial" w:hAnsi="Arial" w:cs="Arial"/>
                <w:b/>
              </w:rPr>
            </w:pPr>
            <w:r w:rsidRPr="00F651CD">
              <w:rPr>
                <w:rFonts w:ascii="Arial" w:hAnsi="Arial" w:cs="Arial"/>
                <w:b/>
              </w:rPr>
              <w:t>Year</w:t>
            </w:r>
          </w:p>
        </w:tc>
        <w:tc>
          <w:tcPr>
            <w:tcW w:w="1276" w:type="dxa"/>
            <w:shd w:val="clear" w:color="auto" w:fill="4F81BD" w:themeFill="accent1"/>
          </w:tcPr>
          <w:p w14:paraId="6BAEDDB3" w14:textId="77777777" w:rsidR="00A36588" w:rsidRPr="00F651CD" w:rsidRDefault="00A36588" w:rsidP="00181181">
            <w:pPr>
              <w:tabs>
                <w:tab w:val="left" w:pos="9552"/>
              </w:tabs>
              <w:rPr>
                <w:rFonts w:ascii="Arial" w:hAnsi="Arial" w:cs="Arial"/>
                <w:b/>
              </w:rPr>
            </w:pPr>
            <w:r w:rsidRPr="00F651CD">
              <w:rPr>
                <w:rFonts w:ascii="Arial" w:hAnsi="Arial" w:cs="Arial"/>
                <w:b/>
              </w:rPr>
              <w:t>Female Headcount</w:t>
            </w:r>
          </w:p>
        </w:tc>
        <w:tc>
          <w:tcPr>
            <w:tcW w:w="850" w:type="dxa"/>
            <w:shd w:val="clear" w:color="auto" w:fill="4F81BD" w:themeFill="accent1"/>
          </w:tcPr>
          <w:p w14:paraId="2E7C05FA" w14:textId="77777777" w:rsidR="00A36588" w:rsidRPr="00F651CD" w:rsidRDefault="00A36588" w:rsidP="00181181">
            <w:pPr>
              <w:tabs>
                <w:tab w:val="left" w:pos="9552"/>
              </w:tabs>
              <w:rPr>
                <w:rFonts w:ascii="Arial" w:hAnsi="Arial" w:cs="Arial"/>
                <w:b/>
              </w:rPr>
            </w:pPr>
            <w:r w:rsidRPr="00F651CD">
              <w:rPr>
                <w:rFonts w:ascii="Arial" w:hAnsi="Arial" w:cs="Arial"/>
                <w:b/>
              </w:rPr>
              <w:t>% of Total</w:t>
            </w:r>
          </w:p>
        </w:tc>
        <w:tc>
          <w:tcPr>
            <w:tcW w:w="1276" w:type="dxa"/>
            <w:shd w:val="clear" w:color="auto" w:fill="4F81BD" w:themeFill="accent1"/>
          </w:tcPr>
          <w:p w14:paraId="66FE1BAA" w14:textId="77777777" w:rsidR="00A36588" w:rsidRPr="00F651CD" w:rsidRDefault="00A36588" w:rsidP="00181181">
            <w:pPr>
              <w:tabs>
                <w:tab w:val="left" w:pos="9552"/>
              </w:tabs>
              <w:rPr>
                <w:rFonts w:ascii="Arial" w:hAnsi="Arial" w:cs="Arial"/>
                <w:b/>
              </w:rPr>
            </w:pPr>
            <w:r w:rsidRPr="00F651CD">
              <w:rPr>
                <w:rFonts w:ascii="Arial" w:hAnsi="Arial" w:cs="Arial"/>
                <w:b/>
              </w:rPr>
              <w:t>Male Headcount</w:t>
            </w:r>
          </w:p>
        </w:tc>
        <w:tc>
          <w:tcPr>
            <w:tcW w:w="992" w:type="dxa"/>
            <w:shd w:val="clear" w:color="auto" w:fill="4F81BD" w:themeFill="accent1"/>
          </w:tcPr>
          <w:p w14:paraId="3D782C6A" w14:textId="77777777" w:rsidR="00A36588" w:rsidRPr="00F651CD" w:rsidRDefault="00A36588" w:rsidP="00181181">
            <w:pPr>
              <w:tabs>
                <w:tab w:val="left" w:pos="9552"/>
              </w:tabs>
              <w:rPr>
                <w:rFonts w:ascii="Arial" w:hAnsi="Arial" w:cs="Arial"/>
                <w:b/>
              </w:rPr>
            </w:pPr>
            <w:r w:rsidRPr="00F651CD">
              <w:rPr>
                <w:rFonts w:ascii="Arial" w:hAnsi="Arial" w:cs="Arial"/>
                <w:b/>
              </w:rPr>
              <w:t>% of Total</w:t>
            </w:r>
          </w:p>
        </w:tc>
        <w:tc>
          <w:tcPr>
            <w:tcW w:w="1559" w:type="dxa"/>
            <w:shd w:val="clear" w:color="auto" w:fill="4F81BD" w:themeFill="accent1"/>
          </w:tcPr>
          <w:p w14:paraId="464CA850" w14:textId="77777777" w:rsidR="00A36588" w:rsidRPr="00F651CD" w:rsidRDefault="00A36588" w:rsidP="00181181">
            <w:pPr>
              <w:tabs>
                <w:tab w:val="left" w:pos="9552"/>
              </w:tabs>
              <w:rPr>
                <w:rFonts w:ascii="Arial" w:hAnsi="Arial" w:cs="Arial"/>
                <w:b/>
                <w:bCs/>
              </w:rPr>
            </w:pPr>
            <w:r w:rsidRPr="00F651CD">
              <w:rPr>
                <w:rFonts w:ascii="Arial" w:hAnsi="Arial" w:cs="Arial"/>
                <w:b/>
                <w:bCs/>
              </w:rPr>
              <w:t>% Difference between Female/Male</w:t>
            </w:r>
          </w:p>
        </w:tc>
      </w:tr>
      <w:tr w:rsidR="00A36588" w:rsidRPr="00F651CD" w14:paraId="4833FCEF" w14:textId="77777777" w:rsidTr="00181181">
        <w:trPr>
          <w:trHeight w:val="268"/>
        </w:trPr>
        <w:tc>
          <w:tcPr>
            <w:tcW w:w="1175" w:type="dxa"/>
          </w:tcPr>
          <w:p w14:paraId="44B57B27" w14:textId="77777777" w:rsidR="00A36588" w:rsidRPr="00F651CD" w:rsidRDefault="00A36588" w:rsidP="00181181">
            <w:pPr>
              <w:tabs>
                <w:tab w:val="left" w:pos="9552"/>
              </w:tabs>
              <w:rPr>
                <w:rFonts w:ascii="Arial" w:hAnsi="Arial" w:cs="Arial"/>
              </w:rPr>
            </w:pPr>
            <w:r w:rsidRPr="00F651CD">
              <w:rPr>
                <w:rFonts w:ascii="Arial" w:hAnsi="Arial" w:cs="Arial"/>
              </w:rPr>
              <w:t>2021/2022</w:t>
            </w:r>
          </w:p>
        </w:tc>
        <w:tc>
          <w:tcPr>
            <w:tcW w:w="1276" w:type="dxa"/>
          </w:tcPr>
          <w:p w14:paraId="014251F3" w14:textId="77777777" w:rsidR="00A36588" w:rsidRPr="00F651CD" w:rsidRDefault="00A36588" w:rsidP="00181181">
            <w:pPr>
              <w:tabs>
                <w:tab w:val="left" w:pos="9552"/>
              </w:tabs>
              <w:rPr>
                <w:rFonts w:ascii="Arial" w:hAnsi="Arial" w:cs="Arial"/>
              </w:rPr>
            </w:pPr>
            <w:r w:rsidRPr="00F651CD">
              <w:rPr>
                <w:rFonts w:ascii="Arial" w:hAnsi="Arial" w:cs="Arial"/>
              </w:rPr>
              <w:t>35</w:t>
            </w:r>
          </w:p>
        </w:tc>
        <w:tc>
          <w:tcPr>
            <w:tcW w:w="850" w:type="dxa"/>
          </w:tcPr>
          <w:p w14:paraId="684E9564" w14:textId="77777777" w:rsidR="00A36588" w:rsidRPr="00F651CD" w:rsidRDefault="00A36588" w:rsidP="00181181">
            <w:pPr>
              <w:tabs>
                <w:tab w:val="left" w:pos="9552"/>
              </w:tabs>
              <w:rPr>
                <w:rFonts w:ascii="Arial" w:hAnsi="Arial" w:cs="Arial"/>
              </w:rPr>
            </w:pPr>
            <w:r w:rsidRPr="00F651CD">
              <w:rPr>
                <w:rFonts w:ascii="Arial" w:hAnsi="Arial" w:cs="Arial"/>
              </w:rPr>
              <w:t>36.1%</w:t>
            </w:r>
          </w:p>
        </w:tc>
        <w:tc>
          <w:tcPr>
            <w:tcW w:w="1276" w:type="dxa"/>
          </w:tcPr>
          <w:p w14:paraId="29C60D6C" w14:textId="77777777" w:rsidR="00A36588" w:rsidRPr="00F651CD" w:rsidRDefault="00A36588" w:rsidP="00181181">
            <w:pPr>
              <w:tabs>
                <w:tab w:val="left" w:pos="9552"/>
              </w:tabs>
              <w:rPr>
                <w:rFonts w:ascii="Arial" w:hAnsi="Arial" w:cs="Arial"/>
              </w:rPr>
            </w:pPr>
            <w:r w:rsidRPr="00F651CD">
              <w:rPr>
                <w:rFonts w:ascii="Arial" w:hAnsi="Arial" w:cs="Arial"/>
              </w:rPr>
              <w:t>62</w:t>
            </w:r>
          </w:p>
        </w:tc>
        <w:tc>
          <w:tcPr>
            <w:tcW w:w="992" w:type="dxa"/>
          </w:tcPr>
          <w:p w14:paraId="2DFDC359" w14:textId="77777777" w:rsidR="00A36588" w:rsidRPr="00F651CD" w:rsidRDefault="00A36588" w:rsidP="00181181">
            <w:pPr>
              <w:tabs>
                <w:tab w:val="left" w:pos="9552"/>
              </w:tabs>
              <w:rPr>
                <w:rFonts w:ascii="Arial" w:hAnsi="Arial" w:cs="Arial"/>
              </w:rPr>
            </w:pPr>
            <w:r w:rsidRPr="00F651CD">
              <w:rPr>
                <w:rFonts w:ascii="Arial" w:hAnsi="Arial" w:cs="Arial"/>
              </w:rPr>
              <w:t>63.9%</w:t>
            </w:r>
          </w:p>
        </w:tc>
        <w:tc>
          <w:tcPr>
            <w:tcW w:w="1559" w:type="dxa"/>
          </w:tcPr>
          <w:p w14:paraId="7B3C025F" w14:textId="77777777" w:rsidR="00A36588" w:rsidRPr="00F651CD" w:rsidRDefault="00A36588" w:rsidP="00181181">
            <w:pPr>
              <w:tabs>
                <w:tab w:val="left" w:pos="9552"/>
              </w:tabs>
              <w:rPr>
                <w:rFonts w:ascii="Arial" w:hAnsi="Arial" w:cs="Arial"/>
              </w:rPr>
            </w:pPr>
            <w:r w:rsidRPr="00F651CD">
              <w:rPr>
                <w:rFonts w:ascii="Arial" w:hAnsi="Arial" w:cs="Arial"/>
              </w:rPr>
              <w:t>27.8%</w:t>
            </w:r>
          </w:p>
        </w:tc>
      </w:tr>
      <w:tr w:rsidR="00A36588" w:rsidRPr="00E75CC3" w14:paraId="46148B56" w14:textId="77777777" w:rsidTr="00181181">
        <w:trPr>
          <w:trHeight w:val="283"/>
        </w:trPr>
        <w:tc>
          <w:tcPr>
            <w:tcW w:w="1175" w:type="dxa"/>
          </w:tcPr>
          <w:p w14:paraId="0D7B3192" w14:textId="77777777" w:rsidR="00A36588" w:rsidRPr="00F651CD" w:rsidRDefault="00A36588" w:rsidP="00181181">
            <w:pPr>
              <w:tabs>
                <w:tab w:val="left" w:pos="9552"/>
              </w:tabs>
              <w:rPr>
                <w:rFonts w:ascii="Arial" w:hAnsi="Arial" w:cs="Arial"/>
              </w:rPr>
            </w:pPr>
            <w:r w:rsidRPr="00F651CD">
              <w:rPr>
                <w:rFonts w:ascii="Arial" w:hAnsi="Arial" w:cs="Arial"/>
              </w:rPr>
              <w:t>2022/2023</w:t>
            </w:r>
          </w:p>
        </w:tc>
        <w:tc>
          <w:tcPr>
            <w:tcW w:w="1276" w:type="dxa"/>
          </w:tcPr>
          <w:p w14:paraId="4A297239" w14:textId="77777777" w:rsidR="00A36588" w:rsidRPr="00F651CD" w:rsidRDefault="00A36588" w:rsidP="00181181">
            <w:pPr>
              <w:tabs>
                <w:tab w:val="left" w:pos="9552"/>
              </w:tabs>
              <w:rPr>
                <w:rFonts w:ascii="Arial" w:hAnsi="Arial" w:cs="Arial"/>
              </w:rPr>
            </w:pPr>
            <w:r w:rsidRPr="00F651CD">
              <w:rPr>
                <w:rFonts w:ascii="Arial" w:hAnsi="Arial" w:cs="Arial"/>
              </w:rPr>
              <w:t>36</w:t>
            </w:r>
          </w:p>
        </w:tc>
        <w:tc>
          <w:tcPr>
            <w:tcW w:w="850" w:type="dxa"/>
          </w:tcPr>
          <w:p w14:paraId="330FD9C9" w14:textId="77777777" w:rsidR="00A36588" w:rsidRPr="00F651CD" w:rsidRDefault="00A36588" w:rsidP="00181181">
            <w:pPr>
              <w:tabs>
                <w:tab w:val="left" w:pos="9552"/>
              </w:tabs>
              <w:rPr>
                <w:rFonts w:ascii="Arial" w:hAnsi="Arial" w:cs="Arial"/>
              </w:rPr>
            </w:pPr>
            <w:r w:rsidRPr="00F651CD">
              <w:rPr>
                <w:rFonts w:ascii="Arial" w:hAnsi="Arial" w:cs="Arial"/>
              </w:rPr>
              <w:t>35.6%</w:t>
            </w:r>
          </w:p>
        </w:tc>
        <w:tc>
          <w:tcPr>
            <w:tcW w:w="1276" w:type="dxa"/>
          </w:tcPr>
          <w:p w14:paraId="0222CF23" w14:textId="77777777" w:rsidR="00A36588" w:rsidRPr="00F651CD" w:rsidRDefault="00A36588" w:rsidP="00181181">
            <w:pPr>
              <w:tabs>
                <w:tab w:val="left" w:pos="9552"/>
              </w:tabs>
              <w:rPr>
                <w:rFonts w:ascii="Arial" w:hAnsi="Arial" w:cs="Arial"/>
              </w:rPr>
            </w:pPr>
            <w:r w:rsidRPr="00F651CD">
              <w:rPr>
                <w:rFonts w:ascii="Arial" w:hAnsi="Arial" w:cs="Arial"/>
              </w:rPr>
              <w:t>65</w:t>
            </w:r>
          </w:p>
        </w:tc>
        <w:tc>
          <w:tcPr>
            <w:tcW w:w="992" w:type="dxa"/>
          </w:tcPr>
          <w:p w14:paraId="0C712066" w14:textId="77777777" w:rsidR="00A36588" w:rsidRPr="00F651CD" w:rsidRDefault="00A36588" w:rsidP="00181181">
            <w:pPr>
              <w:tabs>
                <w:tab w:val="left" w:pos="9552"/>
              </w:tabs>
              <w:rPr>
                <w:rFonts w:ascii="Arial" w:hAnsi="Arial" w:cs="Arial"/>
              </w:rPr>
            </w:pPr>
            <w:r w:rsidRPr="00F651CD">
              <w:rPr>
                <w:rFonts w:ascii="Arial" w:hAnsi="Arial" w:cs="Arial"/>
              </w:rPr>
              <w:t>64.4%</w:t>
            </w:r>
          </w:p>
        </w:tc>
        <w:tc>
          <w:tcPr>
            <w:tcW w:w="1559" w:type="dxa"/>
          </w:tcPr>
          <w:p w14:paraId="6AF4A2C0" w14:textId="77777777" w:rsidR="00A36588" w:rsidRPr="00F651CD" w:rsidRDefault="00A36588" w:rsidP="00181181">
            <w:pPr>
              <w:tabs>
                <w:tab w:val="left" w:pos="9552"/>
              </w:tabs>
              <w:rPr>
                <w:rFonts w:ascii="Arial" w:hAnsi="Arial" w:cs="Arial"/>
              </w:rPr>
            </w:pPr>
            <w:r w:rsidRPr="00F651CD">
              <w:rPr>
                <w:rFonts w:ascii="Arial" w:hAnsi="Arial" w:cs="Arial"/>
              </w:rPr>
              <w:t>28.8%</w:t>
            </w:r>
          </w:p>
        </w:tc>
      </w:tr>
    </w:tbl>
    <w:p w14:paraId="1D324D04" w14:textId="77777777" w:rsidR="00A36588" w:rsidRDefault="00A36588" w:rsidP="00A36588">
      <w:pPr>
        <w:tabs>
          <w:tab w:val="left" w:pos="9552"/>
        </w:tabs>
        <w:rPr>
          <w:rFonts w:ascii="Arial" w:hAnsi="Arial" w:cs="Arial"/>
        </w:rPr>
      </w:pPr>
    </w:p>
    <w:p w14:paraId="2DC16613" w14:textId="77777777" w:rsidR="00A36588" w:rsidRDefault="00A36588" w:rsidP="00A36588">
      <w:pPr>
        <w:tabs>
          <w:tab w:val="left" w:pos="9552"/>
        </w:tabs>
        <w:rPr>
          <w:rFonts w:ascii="Arial" w:hAnsi="Arial" w:cs="Arial"/>
        </w:rPr>
      </w:pPr>
    </w:p>
    <w:p w14:paraId="6F75B5A6" w14:textId="77777777" w:rsidR="00A36588" w:rsidRDefault="00A36588" w:rsidP="00A36588">
      <w:pPr>
        <w:tabs>
          <w:tab w:val="left" w:pos="9552"/>
        </w:tabs>
        <w:rPr>
          <w:rFonts w:ascii="Arial" w:hAnsi="Arial" w:cs="Arial"/>
        </w:rPr>
      </w:pPr>
    </w:p>
    <w:p w14:paraId="11C69DD7" w14:textId="77777777" w:rsidR="00A36588" w:rsidRDefault="00A36588" w:rsidP="00A36588">
      <w:pPr>
        <w:tabs>
          <w:tab w:val="left" w:pos="9552"/>
        </w:tabs>
        <w:rPr>
          <w:rFonts w:ascii="Arial" w:hAnsi="Arial" w:cs="Arial"/>
        </w:rPr>
      </w:pPr>
    </w:p>
    <w:p w14:paraId="0BA1F064" w14:textId="77777777" w:rsidR="00A36588" w:rsidRDefault="00A36588" w:rsidP="00A36588">
      <w:pPr>
        <w:tabs>
          <w:tab w:val="left" w:pos="9552"/>
        </w:tabs>
        <w:rPr>
          <w:rFonts w:ascii="Arial" w:hAnsi="Arial" w:cs="Arial"/>
        </w:rPr>
      </w:pPr>
    </w:p>
    <w:p w14:paraId="5E8FD10B" w14:textId="77777777" w:rsidR="00A36588" w:rsidRPr="00F651CD" w:rsidRDefault="00A36588" w:rsidP="00A36588">
      <w:pPr>
        <w:tabs>
          <w:tab w:val="left" w:pos="9552"/>
        </w:tabs>
        <w:rPr>
          <w:rFonts w:ascii="Arial" w:hAnsi="Arial" w:cs="Arial"/>
        </w:rPr>
      </w:pPr>
    </w:p>
    <w:p w14:paraId="4E536CFC" w14:textId="77777777" w:rsidR="00A36588" w:rsidRPr="00F651CD" w:rsidRDefault="00A36588" w:rsidP="00A36588">
      <w:pPr>
        <w:tabs>
          <w:tab w:val="left" w:pos="9552"/>
        </w:tabs>
        <w:rPr>
          <w:rFonts w:ascii="Arial" w:hAnsi="Arial" w:cs="Arial"/>
          <w:highlight w:val="yellow"/>
        </w:rPr>
      </w:pPr>
      <w:r w:rsidRPr="00F651CD">
        <w:rPr>
          <w:rFonts w:ascii="Arial" w:hAnsi="Arial" w:cs="Arial"/>
        </w:rPr>
        <w:lastRenderedPageBreak/>
        <w:t>The chart below demonstrated the proportion of female and male consultants appointed by the Trust between 2017/</w:t>
      </w:r>
      <w:r>
        <w:rPr>
          <w:rFonts w:ascii="Arial" w:hAnsi="Arial" w:cs="Arial"/>
        </w:rPr>
        <w:t>18 to 2022/23:</w:t>
      </w:r>
    </w:p>
    <w:p w14:paraId="7188DF27" w14:textId="77777777" w:rsidR="00A36588" w:rsidRPr="00E75CC3" w:rsidRDefault="00A36588" w:rsidP="00A36588">
      <w:pPr>
        <w:tabs>
          <w:tab w:val="left" w:pos="9552"/>
        </w:tabs>
        <w:ind w:left="720"/>
        <w:rPr>
          <w:rFonts w:ascii="Arial" w:hAnsi="Arial" w:cs="Arial"/>
          <w:highlight w:val="yellow"/>
        </w:rPr>
      </w:pPr>
      <w:r w:rsidRPr="00F651CD">
        <w:rPr>
          <w:rFonts w:ascii="Arial" w:hAnsi="Arial" w:cs="Arial"/>
          <w:noProof/>
          <w:lang w:eastAsia="en-GB"/>
        </w:rPr>
        <w:drawing>
          <wp:inline distT="0" distB="0" distL="0" distR="0" wp14:anchorId="1F6B779D" wp14:editId="78D87788">
            <wp:extent cx="4629388" cy="2171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9388" cy="2171812"/>
                    </a:xfrm>
                    <a:prstGeom prst="rect">
                      <a:avLst/>
                    </a:prstGeom>
                  </pic:spPr>
                </pic:pic>
              </a:graphicData>
            </a:graphic>
          </wp:inline>
        </w:drawing>
      </w:r>
    </w:p>
    <w:p w14:paraId="2AE5D2AE" w14:textId="77777777" w:rsidR="00A36588" w:rsidRPr="004A69D7" w:rsidRDefault="00A36588" w:rsidP="00A36588">
      <w:pPr>
        <w:tabs>
          <w:tab w:val="left" w:pos="9552"/>
        </w:tabs>
        <w:ind w:left="720"/>
        <w:rPr>
          <w:rFonts w:ascii="Arial" w:hAnsi="Arial" w:cs="Arial"/>
        </w:rPr>
      </w:pPr>
      <w:r w:rsidRPr="00F651CD">
        <w:rPr>
          <w:rFonts w:ascii="Arial" w:hAnsi="Arial" w:cs="Arial"/>
          <w:sz w:val="20"/>
          <w:szCs w:val="20"/>
        </w:rPr>
        <w:t>*Due to Covid-19, e</w:t>
      </w:r>
      <w:r w:rsidRPr="00F651CD">
        <w:rPr>
          <w:rFonts w:ascii="Arial" w:hAnsi="Arial" w:cs="Arial"/>
          <w:color w:val="0B0C0C"/>
          <w:sz w:val="20"/>
          <w:szCs w:val="20"/>
          <w:shd w:val="clear" w:color="auto" w:fill="FFFFFF"/>
        </w:rPr>
        <w:t>nforcement for reporting was suspended entirely for the 2019/20 reporting year</w:t>
      </w:r>
      <w:r w:rsidRPr="00F651CD">
        <w:rPr>
          <w:rFonts w:ascii="Arial" w:hAnsi="Arial" w:cs="Arial"/>
          <w:color w:val="0B0C0C"/>
          <w:shd w:val="clear" w:color="auto" w:fill="FFFFFF"/>
        </w:rPr>
        <w:t>.</w:t>
      </w:r>
    </w:p>
    <w:p w14:paraId="4DD02C43" w14:textId="77777777" w:rsidR="00A36588" w:rsidRPr="000E7424" w:rsidRDefault="00A36588" w:rsidP="00A36588">
      <w:pPr>
        <w:tabs>
          <w:tab w:val="left" w:pos="9552"/>
        </w:tabs>
        <w:rPr>
          <w:rFonts w:ascii="Arial" w:hAnsi="Arial" w:cs="Arial"/>
          <w:highlight w:val="yellow"/>
        </w:rPr>
      </w:pPr>
      <w:r w:rsidRPr="000E7424">
        <w:rPr>
          <w:rFonts w:ascii="Arial" w:hAnsi="Arial" w:cs="Arial"/>
        </w:rPr>
        <w:t>The CEA allocation for 1st April 2022 – 31st March 2023 by gender identifies that more males were allocated awards compared to females.</w:t>
      </w:r>
    </w:p>
    <w:tbl>
      <w:tblPr>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1"/>
        <w:gridCol w:w="1458"/>
        <w:gridCol w:w="961"/>
        <w:gridCol w:w="3221"/>
      </w:tblGrid>
      <w:tr w:rsidR="00A36588" w:rsidRPr="000E7424" w14:paraId="4DDCD583" w14:textId="77777777" w:rsidTr="00181181">
        <w:trPr>
          <w:trHeight w:val="828"/>
        </w:trPr>
        <w:tc>
          <w:tcPr>
            <w:tcW w:w="1891" w:type="dxa"/>
            <w:shd w:val="clear" w:color="auto" w:fill="4F81BD" w:themeFill="accent1"/>
          </w:tcPr>
          <w:p w14:paraId="463ED204" w14:textId="77777777" w:rsidR="00A36588" w:rsidRPr="000E7424" w:rsidRDefault="00A36588" w:rsidP="00181181">
            <w:pPr>
              <w:tabs>
                <w:tab w:val="left" w:pos="9552"/>
              </w:tabs>
              <w:rPr>
                <w:rFonts w:ascii="Arial" w:hAnsi="Arial" w:cs="Arial"/>
                <w:b/>
              </w:rPr>
            </w:pPr>
            <w:r w:rsidRPr="000E7424">
              <w:rPr>
                <w:rFonts w:ascii="Arial" w:hAnsi="Arial" w:cs="Arial"/>
                <w:b/>
              </w:rPr>
              <w:t>Gender</w:t>
            </w:r>
          </w:p>
        </w:tc>
        <w:tc>
          <w:tcPr>
            <w:tcW w:w="1458" w:type="dxa"/>
            <w:shd w:val="clear" w:color="auto" w:fill="4F81BD" w:themeFill="accent1"/>
          </w:tcPr>
          <w:p w14:paraId="730BCED3" w14:textId="77777777" w:rsidR="00A36588" w:rsidRPr="000E7424" w:rsidRDefault="00A36588" w:rsidP="00181181">
            <w:pPr>
              <w:tabs>
                <w:tab w:val="left" w:pos="9552"/>
              </w:tabs>
              <w:rPr>
                <w:rFonts w:ascii="Arial" w:hAnsi="Arial" w:cs="Arial"/>
                <w:b/>
              </w:rPr>
            </w:pPr>
            <w:r w:rsidRPr="000E7424">
              <w:rPr>
                <w:rFonts w:ascii="Arial" w:hAnsi="Arial" w:cs="Arial"/>
                <w:b/>
              </w:rPr>
              <w:t>Headcount awarded CEA</w:t>
            </w:r>
          </w:p>
        </w:tc>
        <w:tc>
          <w:tcPr>
            <w:tcW w:w="961" w:type="dxa"/>
            <w:shd w:val="clear" w:color="auto" w:fill="4F81BD" w:themeFill="accent1"/>
          </w:tcPr>
          <w:p w14:paraId="270A59A8" w14:textId="77777777" w:rsidR="00A36588" w:rsidRPr="000E7424" w:rsidRDefault="00A36588" w:rsidP="00181181">
            <w:pPr>
              <w:tabs>
                <w:tab w:val="left" w:pos="9552"/>
              </w:tabs>
              <w:rPr>
                <w:rFonts w:ascii="Arial" w:hAnsi="Arial" w:cs="Arial"/>
                <w:b/>
              </w:rPr>
            </w:pPr>
            <w:r w:rsidRPr="000E7424">
              <w:rPr>
                <w:rFonts w:ascii="Arial" w:hAnsi="Arial" w:cs="Arial"/>
                <w:b/>
              </w:rPr>
              <w:t xml:space="preserve">% </w:t>
            </w:r>
          </w:p>
        </w:tc>
        <w:tc>
          <w:tcPr>
            <w:tcW w:w="3221" w:type="dxa"/>
            <w:shd w:val="clear" w:color="auto" w:fill="4F81BD" w:themeFill="accent1"/>
          </w:tcPr>
          <w:p w14:paraId="531E562D" w14:textId="77777777" w:rsidR="00A36588" w:rsidRPr="000E7424" w:rsidRDefault="00A36588" w:rsidP="00181181">
            <w:pPr>
              <w:tabs>
                <w:tab w:val="left" w:pos="9552"/>
              </w:tabs>
              <w:rPr>
                <w:rFonts w:ascii="Arial" w:hAnsi="Arial" w:cs="Arial"/>
                <w:b/>
              </w:rPr>
            </w:pPr>
            <w:r w:rsidRPr="000E7424">
              <w:rPr>
                <w:rFonts w:ascii="Arial" w:hAnsi="Arial" w:cs="Arial"/>
                <w:b/>
              </w:rPr>
              <w:t>Total % of consultant workforce</w:t>
            </w:r>
          </w:p>
        </w:tc>
      </w:tr>
      <w:tr w:rsidR="00A36588" w:rsidRPr="000E7424" w14:paraId="59212548" w14:textId="77777777" w:rsidTr="00181181">
        <w:trPr>
          <w:trHeight w:val="283"/>
        </w:trPr>
        <w:tc>
          <w:tcPr>
            <w:tcW w:w="1891" w:type="dxa"/>
          </w:tcPr>
          <w:p w14:paraId="2BF7E246" w14:textId="77777777" w:rsidR="00A36588" w:rsidRPr="000E7424" w:rsidRDefault="00A36588" w:rsidP="00181181">
            <w:pPr>
              <w:tabs>
                <w:tab w:val="left" w:pos="9552"/>
              </w:tabs>
              <w:rPr>
                <w:rFonts w:ascii="Arial" w:hAnsi="Arial" w:cs="Arial"/>
              </w:rPr>
            </w:pPr>
            <w:r w:rsidRPr="000E7424">
              <w:rPr>
                <w:rFonts w:ascii="Arial" w:hAnsi="Arial" w:cs="Arial"/>
              </w:rPr>
              <w:t>Female</w:t>
            </w:r>
          </w:p>
        </w:tc>
        <w:tc>
          <w:tcPr>
            <w:tcW w:w="1458" w:type="dxa"/>
          </w:tcPr>
          <w:p w14:paraId="5FB06F8B" w14:textId="77777777" w:rsidR="00A36588" w:rsidRPr="000E7424" w:rsidRDefault="00A36588" w:rsidP="00181181">
            <w:pPr>
              <w:pStyle w:val="BodyText"/>
              <w:tabs>
                <w:tab w:val="left" w:pos="9552"/>
              </w:tabs>
              <w:rPr>
                <w:rFonts w:ascii="Arial" w:hAnsi="Arial" w:cs="Arial"/>
              </w:rPr>
            </w:pPr>
            <w:r w:rsidRPr="000E7424">
              <w:rPr>
                <w:rFonts w:ascii="Arial" w:hAnsi="Arial" w:cs="Arial"/>
              </w:rPr>
              <w:t>10</w:t>
            </w:r>
          </w:p>
        </w:tc>
        <w:tc>
          <w:tcPr>
            <w:tcW w:w="961" w:type="dxa"/>
          </w:tcPr>
          <w:p w14:paraId="0EB418B7" w14:textId="77777777" w:rsidR="00A36588" w:rsidRPr="000E7424" w:rsidRDefault="00A36588" w:rsidP="00181181">
            <w:pPr>
              <w:tabs>
                <w:tab w:val="left" w:pos="9552"/>
              </w:tabs>
              <w:rPr>
                <w:rFonts w:ascii="Arial" w:hAnsi="Arial" w:cs="Arial"/>
              </w:rPr>
            </w:pPr>
            <w:r w:rsidRPr="000E7424">
              <w:rPr>
                <w:rFonts w:ascii="Arial" w:hAnsi="Arial" w:cs="Arial"/>
              </w:rPr>
              <w:t>22.7%</w:t>
            </w:r>
          </w:p>
        </w:tc>
        <w:tc>
          <w:tcPr>
            <w:tcW w:w="3221" w:type="dxa"/>
          </w:tcPr>
          <w:p w14:paraId="2E24E991" w14:textId="77777777" w:rsidR="00A36588" w:rsidRPr="000E7424" w:rsidRDefault="00A36588" w:rsidP="00181181">
            <w:pPr>
              <w:tabs>
                <w:tab w:val="left" w:pos="9552"/>
              </w:tabs>
              <w:rPr>
                <w:rFonts w:ascii="Arial" w:hAnsi="Arial" w:cs="Arial"/>
              </w:rPr>
            </w:pPr>
            <w:r w:rsidRPr="000E7424">
              <w:rPr>
                <w:rFonts w:ascii="Arial" w:hAnsi="Arial" w:cs="Arial"/>
              </w:rPr>
              <w:t>9.9%</w:t>
            </w:r>
          </w:p>
        </w:tc>
      </w:tr>
      <w:tr w:rsidR="00A36588" w:rsidRPr="000E7424" w14:paraId="07389379" w14:textId="77777777" w:rsidTr="00181181">
        <w:trPr>
          <w:trHeight w:val="268"/>
        </w:trPr>
        <w:tc>
          <w:tcPr>
            <w:tcW w:w="1891" w:type="dxa"/>
          </w:tcPr>
          <w:p w14:paraId="67A0318A" w14:textId="77777777" w:rsidR="00A36588" w:rsidRPr="000E7424" w:rsidRDefault="00A36588" w:rsidP="00181181">
            <w:pPr>
              <w:tabs>
                <w:tab w:val="left" w:pos="9552"/>
              </w:tabs>
              <w:rPr>
                <w:rFonts w:ascii="Arial" w:hAnsi="Arial" w:cs="Arial"/>
              </w:rPr>
            </w:pPr>
            <w:r w:rsidRPr="000E7424">
              <w:rPr>
                <w:rFonts w:ascii="Arial" w:hAnsi="Arial" w:cs="Arial"/>
              </w:rPr>
              <w:t>Male</w:t>
            </w:r>
          </w:p>
        </w:tc>
        <w:tc>
          <w:tcPr>
            <w:tcW w:w="1458" w:type="dxa"/>
          </w:tcPr>
          <w:p w14:paraId="07997B0A" w14:textId="77777777" w:rsidR="00A36588" w:rsidRPr="000E7424" w:rsidRDefault="00A36588" w:rsidP="00181181">
            <w:pPr>
              <w:tabs>
                <w:tab w:val="left" w:pos="9552"/>
              </w:tabs>
              <w:rPr>
                <w:rFonts w:ascii="Arial" w:hAnsi="Arial" w:cs="Arial"/>
              </w:rPr>
            </w:pPr>
            <w:r w:rsidRPr="000E7424">
              <w:rPr>
                <w:rFonts w:ascii="Arial" w:hAnsi="Arial" w:cs="Arial"/>
              </w:rPr>
              <w:t>34</w:t>
            </w:r>
          </w:p>
        </w:tc>
        <w:tc>
          <w:tcPr>
            <w:tcW w:w="961" w:type="dxa"/>
          </w:tcPr>
          <w:p w14:paraId="2611E46F" w14:textId="77777777" w:rsidR="00A36588" w:rsidRPr="000E7424" w:rsidRDefault="00A36588" w:rsidP="00181181">
            <w:pPr>
              <w:tabs>
                <w:tab w:val="left" w:pos="9552"/>
              </w:tabs>
              <w:rPr>
                <w:rFonts w:ascii="Arial" w:hAnsi="Arial" w:cs="Arial"/>
              </w:rPr>
            </w:pPr>
            <w:r w:rsidRPr="000E7424">
              <w:rPr>
                <w:rFonts w:ascii="Arial" w:hAnsi="Arial" w:cs="Arial"/>
              </w:rPr>
              <w:t>77.3%</w:t>
            </w:r>
          </w:p>
        </w:tc>
        <w:tc>
          <w:tcPr>
            <w:tcW w:w="3221" w:type="dxa"/>
          </w:tcPr>
          <w:p w14:paraId="177539D6" w14:textId="77777777" w:rsidR="00A36588" w:rsidRPr="000E7424" w:rsidRDefault="00A36588" w:rsidP="00181181">
            <w:pPr>
              <w:tabs>
                <w:tab w:val="left" w:pos="9552"/>
              </w:tabs>
              <w:rPr>
                <w:rFonts w:ascii="Arial" w:hAnsi="Arial" w:cs="Arial"/>
              </w:rPr>
            </w:pPr>
            <w:r w:rsidRPr="000E7424">
              <w:rPr>
                <w:rFonts w:ascii="Arial" w:hAnsi="Arial" w:cs="Arial"/>
              </w:rPr>
              <w:t>33.7%</w:t>
            </w:r>
          </w:p>
        </w:tc>
      </w:tr>
      <w:tr w:rsidR="00A36588" w:rsidRPr="000E7424" w14:paraId="1F144E52" w14:textId="77777777" w:rsidTr="00181181">
        <w:trPr>
          <w:trHeight w:val="283"/>
        </w:trPr>
        <w:tc>
          <w:tcPr>
            <w:tcW w:w="1891" w:type="dxa"/>
          </w:tcPr>
          <w:p w14:paraId="207E3C6F" w14:textId="77777777" w:rsidR="00A36588" w:rsidRPr="000E7424" w:rsidRDefault="00A36588" w:rsidP="00181181">
            <w:pPr>
              <w:tabs>
                <w:tab w:val="left" w:pos="9552"/>
              </w:tabs>
              <w:rPr>
                <w:rFonts w:ascii="Arial" w:hAnsi="Arial" w:cs="Arial"/>
              </w:rPr>
            </w:pPr>
            <w:r w:rsidRPr="000E7424">
              <w:rPr>
                <w:rFonts w:ascii="Arial" w:hAnsi="Arial" w:cs="Arial"/>
              </w:rPr>
              <w:t>TOTAL</w:t>
            </w:r>
          </w:p>
        </w:tc>
        <w:tc>
          <w:tcPr>
            <w:tcW w:w="1458" w:type="dxa"/>
          </w:tcPr>
          <w:p w14:paraId="25E13FFF" w14:textId="77777777" w:rsidR="00A36588" w:rsidRPr="000E7424" w:rsidRDefault="00A36588" w:rsidP="00181181">
            <w:pPr>
              <w:tabs>
                <w:tab w:val="left" w:pos="9552"/>
              </w:tabs>
              <w:rPr>
                <w:rFonts w:ascii="Arial" w:hAnsi="Arial" w:cs="Arial"/>
              </w:rPr>
            </w:pPr>
            <w:r w:rsidRPr="000E7424">
              <w:rPr>
                <w:rFonts w:ascii="Arial" w:hAnsi="Arial" w:cs="Arial"/>
              </w:rPr>
              <w:t>44</w:t>
            </w:r>
          </w:p>
        </w:tc>
        <w:tc>
          <w:tcPr>
            <w:tcW w:w="961" w:type="dxa"/>
          </w:tcPr>
          <w:p w14:paraId="4D60F307" w14:textId="77777777" w:rsidR="00A36588" w:rsidRPr="000E7424" w:rsidRDefault="00A36588" w:rsidP="00181181">
            <w:pPr>
              <w:tabs>
                <w:tab w:val="left" w:pos="9552"/>
              </w:tabs>
              <w:rPr>
                <w:rFonts w:ascii="Arial" w:hAnsi="Arial" w:cs="Arial"/>
              </w:rPr>
            </w:pPr>
          </w:p>
        </w:tc>
        <w:tc>
          <w:tcPr>
            <w:tcW w:w="3221" w:type="dxa"/>
          </w:tcPr>
          <w:p w14:paraId="1B5821C5" w14:textId="77777777" w:rsidR="00A36588" w:rsidRPr="000E7424" w:rsidRDefault="00A36588" w:rsidP="00181181">
            <w:pPr>
              <w:tabs>
                <w:tab w:val="left" w:pos="9552"/>
              </w:tabs>
              <w:rPr>
                <w:rFonts w:ascii="Arial" w:hAnsi="Arial" w:cs="Arial"/>
              </w:rPr>
            </w:pPr>
            <w:r w:rsidRPr="000E7424">
              <w:rPr>
                <w:rFonts w:ascii="Arial" w:hAnsi="Arial" w:cs="Arial"/>
              </w:rPr>
              <w:t>43.6%</w:t>
            </w:r>
          </w:p>
        </w:tc>
      </w:tr>
    </w:tbl>
    <w:p w14:paraId="690D6BC4" w14:textId="77777777" w:rsidR="00A36588" w:rsidRPr="000E7424" w:rsidRDefault="00A36588" w:rsidP="00A36588">
      <w:pPr>
        <w:tabs>
          <w:tab w:val="left" w:pos="9552"/>
        </w:tabs>
        <w:rPr>
          <w:rFonts w:ascii="Arial" w:hAnsi="Arial" w:cs="Arial"/>
        </w:rPr>
      </w:pPr>
    </w:p>
    <w:p w14:paraId="42EC1F16" w14:textId="77777777" w:rsidR="00A36588" w:rsidRPr="000E7424" w:rsidRDefault="00A36588" w:rsidP="00A36588">
      <w:pPr>
        <w:tabs>
          <w:tab w:val="left" w:pos="9552"/>
        </w:tabs>
        <w:rPr>
          <w:rFonts w:ascii="Arial" w:hAnsi="Arial" w:cs="Arial"/>
          <w:b/>
          <w:color w:val="005EB8"/>
          <w:sz w:val="28"/>
          <w:szCs w:val="28"/>
        </w:rPr>
      </w:pPr>
      <w:r w:rsidRPr="000E7424">
        <w:rPr>
          <w:rFonts w:ascii="Arial" w:hAnsi="Arial" w:cs="Arial"/>
          <w:b/>
          <w:color w:val="005EB8"/>
          <w:sz w:val="28"/>
          <w:szCs w:val="28"/>
        </w:rPr>
        <w:t xml:space="preserve">EPUT’s </w:t>
      </w:r>
      <w:r>
        <w:rPr>
          <w:rFonts w:ascii="Arial" w:hAnsi="Arial" w:cs="Arial"/>
          <w:b/>
          <w:color w:val="005EB8"/>
          <w:sz w:val="28"/>
          <w:szCs w:val="28"/>
        </w:rPr>
        <w:t>staff profile by gender and r</w:t>
      </w:r>
      <w:r w:rsidRPr="000E7424">
        <w:rPr>
          <w:rFonts w:ascii="Arial" w:hAnsi="Arial" w:cs="Arial"/>
          <w:b/>
          <w:color w:val="005EB8"/>
          <w:sz w:val="28"/>
          <w:szCs w:val="28"/>
        </w:rPr>
        <w:t>ace</w:t>
      </w:r>
    </w:p>
    <w:p w14:paraId="77716382" w14:textId="77777777" w:rsidR="00A36588" w:rsidRPr="000E7424" w:rsidRDefault="00A36588" w:rsidP="00A36588">
      <w:pPr>
        <w:tabs>
          <w:tab w:val="left" w:pos="9552"/>
        </w:tabs>
        <w:rPr>
          <w:rFonts w:ascii="Arial" w:hAnsi="Arial" w:cs="Arial"/>
          <w:b/>
          <w:color w:val="005EB8"/>
          <w:sz w:val="28"/>
          <w:szCs w:val="28"/>
        </w:rPr>
      </w:pPr>
      <w:r w:rsidRPr="000E7424">
        <w:rPr>
          <w:rFonts w:ascii="Arial" w:hAnsi="Arial" w:cs="Arial"/>
        </w:rPr>
        <w:t>The table below is a new breakdown for 2023 as outlined in the NHS EDI Improvement Plan (</w:t>
      </w:r>
      <w:r>
        <w:rPr>
          <w:rFonts w:ascii="Arial" w:hAnsi="Arial" w:cs="Arial"/>
        </w:rPr>
        <w:t xml:space="preserve">High Impact </w:t>
      </w:r>
      <w:r w:rsidRPr="000E7424">
        <w:rPr>
          <w:rFonts w:ascii="Arial" w:hAnsi="Arial" w:cs="Arial"/>
        </w:rPr>
        <w:t>Action 3) and shows the breakdown of staff in scope by gender and race for the reporting period 1 April 2022 - 31</w:t>
      </w:r>
      <w:r w:rsidRPr="000E7424">
        <w:rPr>
          <w:rFonts w:ascii="Arial" w:hAnsi="Arial" w:cs="Arial"/>
          <w:vertAlign w:val="superscript"/>
        </w:rPr>
        <w:t>st</w:t>
      </w:r>
      <w:r w:rsidRPr="000E7424">
        <w:rPr>
          <w:rFonts w:ascii="Arial" w:hAnsi="Arial" w:cs="Arial"/>
        </w:rPr>
        <w:t xml:space="preserve"> March 2023.</w:t>
      </w:r>
    </w:p>
    <w:tbl>
      <w:tblPr>
        <w:tblpPr w:leftFromText="180" w:rightFromText="180" w:vertAnchor="text" w:horzAnchor="page" w:tblpX="481" w:tblpY="283"/>
        <w:tblW w:w="11047" w:type="dxa"/>
        <w:tblLook w:val="04A0" w:firstRow="1" w:lastRow="0" w:firstColumn="1" w:lastColumn="0" w:noHBand="0" w:noVBand="1"/>
      </w:tblPr>
      <w:tblGrid>
        <w:gridCol w:w="1134"/>
        <w:gridCol w:w="1134"/>
        <w:gridCol w:w="1701"/>
        <w:gridCol w:w="1701"/>
        <w:gridCol w:w="1560"/>
        <w:gridCol w:w="1417"/>
        <w:gridCol w:w="2400"/>
      </w:tblGrid>
      <w:tr w:rsidR="00A36588" w:rsidRPr="000E7424" w14:paraId="33324EC3" w14:textId="77777777" w:rsidTr="00181181">
        <w:trPr>
          <w:trHeight w:val="590"/>
        </w:trPr>
        <w:tc>
          <w:tcPr>
            <w:tcW w:w="1134"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hideMark/>
          </w:tcPr>
          <w:p w14:paraId="54036E3B" w14:textId="77777777" w:rsidR="00A36588" w:rsidRPr="000E7424" w:rsidRDefault="00A36588" w:rsidP="00181181">
            <w:pPr>
              <w:tabs>
                <w:tab w:val="left" w:pos="9552"/>
              </w:tabs>
              <w:rPr>
                <w:rFonts w:ascii="Arial" w:eastAsia="Times New Roman" w:hAnsi="Arial" w:cs="Arial"/>
                <w:b/>
                <w:bCs/>
                <w:color w:val="000000"/>
                <w:lang w:eastAsia="en-GB"/>
              </w:rPr>
            </w:pPr>
            <w:r w:rsidRPr="000E7424">
              <w:rPr>
                <w:rFonts w:ascii="Arial" w:eastAsia="Times New Roman" w:hAnsi="Arial" w:cs="Arial"/>
                <w:b/>
                <w:bCs/>
                <w:color w:val="000000"/>
                <w:lang w:eastAsia="en-GB"/>
              </w:rPr>
              <w:t>Gender</w:t>
            </w:r>
          </w:p>
        </w:tc>
        <w:tc>
          <w:tcPr>
            <w:tcW w:w="1134" w:type="dxa"/>
            <w:tcBorders>
              <w:top w:val="single" w:sz="8" w:space="0" w:color="auto"/>
              <w:left w:val="nil"/>
              <w:bottom w:val="single" w:sz="8" w:space="0" w:color="auto"/>
              <w:right w:val="single" w:sz="8" w:space="0" w:color="auto"/>
            </w:tcBorders>
            <w:shd w:val="clear" w:color="auto" w:fill="4F81BD" w:themeFill="accent1"/>
            <w:vAlign w:val="bottom"/>
            <w:hideMark/>
          </w:tcPr>
          <w:p w14:paraId="22A8BEF4"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BME</w:t>
            </w:r>
          </w:p>
        </w:tc>
        <w:tc>
          <w:tcPr>
            <w:tcW w:w="1701" w:type="dxa"/>
            <w:tcBorders>
              <w:top w:val="single" w:sz="8" w:space="0" w:color="auto"/>
              <w:left w:val="nil"/>
              <w:bottom w:val="single" w:sz="8" w:space="0" w:color="auto"/>
              <w:right w:val="single" w:sz="8" w:space="0" w:color="auto"/>
            </w:tcBorders>
            <w:shd w:val="clear" w:color="auto" w:fill="4F81BD" w:themeFill="accent1"/>
            <w:vAlign w:val="bottom"/>
            <w:hideMark/>
          </w:tcPr>
          <w:p w14:paraId="3EB2513C"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 BME</w:t>
            </w:r>
          </w:p>
        </w:tc>
        <w:tc>
          <w:tcPr>
            <w:tcW w:w="1701" w:type="dxa"/>
            <w:tcBorders>
              <w:top w:val="single" w:sz="8" w:space="0" w:color="auto"/>
              <w:left w:val="nil"/>
              <w:bottom w:val="single" w:sz="8" w:space="0" w:color="auto"/>
              <w:right w:val="single" w:sz="8" w:space="0" w:color="auto"/>
            </w:tcBorders>
            <w:shd w:val="clear" w:color="auto" w:fill="4F81BD" w:themeFill="accent1"/>
            <w:vAlign w:val="bottom"/>
            <w:hideMark/>
          </w:tcPr>
          <w:p w14:paraId="59E34648"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White</w:t>
            </w:r>
          </w:p>
        </w:tc>
        <w:tc>
          <w:tcPr>
            <w:tcW w:w="1560" w:type="dxa"/>
            <w:tcBorders>
              <w:top w:val="single" w:sz="8" w:space="0" w:color="auto"/>
              <w:left w:val="nil"/>
              <w:bottom w:val="single" w:sz="8" w:space="0" w:color="auto"/>
              <w:right w:val="single" w:sz="8" w:space="0" w:color="auto"/>
            </w:tcBorders>
            <w:shd w:val="clear" w:color="auto" w:fill="4F81BD" w:themeFill="accent1"/>
            <w:vAlign w:val="bottom"/>
            <w:hideMark/>
          </w:tcPr>
          <w:p w14:paraId="7F0C300A"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 White</w:t>
            </w:r>
          </w:p>
        </w:tc>
        <w:tc>
          <w:tcPr>
            <w:tcW w:w="1417" w:type="dxa"/>
            <w:tcBorders>
              <w:top w:val="single" w:sz="8" w:space="0" w:color="auto"/>
              <w:left w:val="nil"/>
              <w:bottom w:val="single" w:sz="8" w:space="0" w:color="auto"/>
              <w:right w:val="single" w:sz="8" w:space="0" w:color="auto"/>
            </w:tcBorders>
            <w:shd w:val="clear" w:color="auto" w:fill="4F81BD" w:themeFill="accent1"/>
            <w:vAlign w:val="bottom"/>
            <w:hideMark/>
          </w:tcPr>
          <w:p w14:paraId="119BE174"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Not Stated</w:t>
            </w:r>
          </w:p>
        </w:tc>
        <w:tc>
          <w:tcPr>
            <w:tcW w:w="2400" w:type="dxa"/>
            <w:tcBorders>
              <w:top w:val="single" w:sz="8" w:space="0" w:color="auto"/>
              <w:left w:val="nil"/>
              <w:bottom w:val="single" w:sz="8" w:space="0" w:color="auto"/>
              <w:right w:val="single" w:sz="8" w:space="0" w:color="auto"/>
            </w:tcBorders>
            <w:shd w:val="clear" w:color="auto" w:fill="4F81BD" w:themeFill="accent1"/>
            <w:vAlign w:val="bottom"/>
            <w:hideMark/>
          </w:tcPr>
          <w:p w14:paraId="2424CF52"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 Not Stated</w:t>
            </w:r>
          </w:p>
        </w:tc>
      </w:tr>
      <w:tr w:rsidR="00A36588" w:rsidRPr="000E7424" w14:paraId="38A9D6E8" w14:textId="77777777" w:rsidTr="00181181">
        <w:trPr>
          <w:trHeight w:val="38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045DBE" w14:textId="77777777" w:rsidR="00A36588" w:rsidRPr="000E7424" w:rsidRDefault="00A36588" w:rsidP="00181181">
            <w:pPr>
              <w:tabs>
                <w:tab w:val="left" w:pos="9552"/>
              </w:tabs>
              <w:rPr>
                <w:rFonts w:ascii="Arial" w:eastAsia="Times New Roman" w:hAnsi="Arial" w:cs="Arial"/>
                <w:color w:val="000000"/>
                <w:lang w:eastAsia="en-GB"/>
              </w:rPr>
            </w:pPr>
            <w:r w:rsidRPr="000E7424">
              <w:rPr>
                <w:rFonts w:ascii="Arial" w:eastAsia="Times New Roman" w:hAnsi="Arial" w:cs="Arial"/>
                <w:color w:val="000000"/>
                <w:lang w:eastAsia="en-GB"/>
              </w:rPr>
              <w:t>Female</w:t>
            </w:r>
          </w:p>
        </w:tc>
        <w:tc>
          <w:tcPr>
            <w:tcW w:w="1134" w:type="dxa"/>
            <w:tcBorders>
              <w:top w:val="nil"/>
              <w:left w:val="nil"/>
              <w:bottom w:val="single" w:sz="8" w:space="0" w:color="auto"/>
              <w:right w:val="single" w:sz="8" w:space="0" w:color="auto"/>
            </w:tcBorders>
            <w:shd w:val="clear" w:color="auto" w:fill="auto"/>
            <w:noWrap/>
            <w:vAlign w:val="bottom"/>
            <w:hideMark/>
          </w:tcPr>
          <w:p w14:paraId="3E8CFFC4"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1,413</w:t>
            </w:r>
          </w:p>
        </w:tc>
        <w:tc>
          <w:tcPr>
            <w:tcW w:w="1701" w:type="dxa"/>
            <w:tcBorders>
              <w:top w:val="nil"/>
              <w:left w:val="nil"/>
              <w:bottom w:val="single" w:sz="8" w:space="0" w:color="auto"/>
              <w:right w:val="single" w:sz="8" w:space="0" w:color="auto"/>
            </w:tcBorders>
            <w:shd w:val="clear" w:color="auto" w:fill="auto"/>
            <w:noWrap/>
            <w:vAlign w:val="bottom"/>
            <w:hideMark/>
          </w:tcPr>
          <w:p w14:paraId="423CCF74"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25.93%</w:t>
            </w:r>
          </w:p>
        </w:tc>
        <w:tc>
          <w:tcPr>
            <w:tcW w:w="1701" w:type="dxa"/>
            <w:tcBorders>
              <w:top w:val="nil"/>
              <w:left w:val="nil"/>
              <w:bottom w:val="single" w:sz="8" w:space="0" w:color="auto"/>
              <w:right w:val="single" w:sz="8" w:space="0" w:color="auto"/>
            </w:tcBorders>
            <w:shd w:val="clear" w:color="auto" w:fill="auto"/>
            <w:noWrap/>
            <w:vAlign w:val="bottom"/>
            <w:hideMark/>
          </w:tcPr>
          <w:p w14:paraId="31EF7965"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3,888</w:t>
            </w:r>
          </w:p>
        </w:tc>
        <w:tc>
          <w:tcPr>
            <w:tcW w:w="1560" w:type="dxa"/>
            <w:tcBorders>
              <w:top w:val="nil"/>
              <w:left w:val="nil"/>
              <w:bottom w:val="single" w:sz="8" w:space="0" w:color="auto"/>
              <w:right w:val="single" w:sz="8" w:space="0" w:color="auto"/>
            </w:tcBorders>
            <w:shd w:val="clear" w:color="auto" w:fill="auto"/>
            <w:noWrap/>
            <w:vAlign w:val="bottom"/>
            <w:hideMark/>
          </w:tcPr>
          <w:p w14:paraId="4B10F2E1"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71.34%</w:t>
            </w:r>
          </w:p>
        </w:tc>
        <w:tc>
          <w:tcPr>
            <w:tcW w:w="1417" w:type="dxa"/>
            <w:tcBorders>
              <w:top w:val="nil"/>
              <w:left w:val="nil"/>
              <w:bottom w:val="single" w:sz="8" w:space="0" w:color="auto"/>
              <w:right w:val="single" w:sz="8" w:space="0" w:color="auto"/>
            </w:tcBorders>
            <w:shd w:val="clear" w:color="auto" w:fill="auto"/>
            <w:noWrap/>
            <w:vAlign w:val="bottom"/>
            <w:hideMark/>
          </w:tcPr>
          <w:p w14:paraId="64427DC0"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149</w:t>
            </w:r>
          </w:p>
        </w:tc>
        <w:tc>
          <w:tcPr>
            <w:tcW w:w="2400" w:type="dxa"/>
            <w:tcBorders>
              <w:top w:val="nil"/>
              <w:left w:val="nil"/>
              <w:bottom w:val="single" w:sz="8" w:space="0" w:color="auto"/>
              <w:right w:val="single" w:sz="8" w:space="0" w:color="auto"/>
            </w:tcBorders>
            <w:shd w:val="clear" w:color="auto" w:fill="auto"/>
            <w:noWrap/>
            <w:vAlign w:val="bottom"/>
            <w:hideMark/>
          </w:tcPr>
          <w:p w14:paraId="65DF0AAF"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2.73%</w:t>
            </w:r>
          </w:p>
        </w:tc>
      </w:tr>
      <w:tr w:rsidR="00A36588" w:rsidRPr="000E7424" w14:paraId="33E68BB8" w14:textId="77777777" w:rsidTr="00181181">
        <w:trPr>
          <w:trHeight w:val="38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6A65B5E" w14:textId="77777777" w:rsidR="00A36588" w:rsidRPr="000E7424" w:rsidRDefault="00A36588" w:rsidP="00181181">
            <w:pPr>
              <w:tabs>
                <w:tab w:val="left" w:pos="9552"/>
              </w:tabs>
              <w:rPr>
                <w:rFonts w:ascii="Arial" w:eastAsia="Times New Roman" w:hAnsi="Arial" w:cs="Arial"/>
                <w:color w:val="000000"/>
                <w:lang w:eastAsia="en-GB"/>
              </w:rPr>
            </w:pPr>
            <w:r w:rsidRPr="000E7424">
              <w:rPr>
                <w:rFonts w:ascii="Arial" w:eastAsia="Times New Roman" w:hAnsi="Arial" w:cs="Arial"/>
                <w:color w:val="000000"/>
                <w:lang w:eastAsia="en-GB"/>
              </w:rPr>
              <w:t>Male</w:t>
            </w:r>
          </w:p>
        </w:tc>
        <w:tc>
          <w:tcPr>
            <w:tcW w:w="1134" w:type="dxa"/>
            <w:tcBorders>
              <w:top w:val="nil"/>
              <w:left w:val="nil"/>
              <w:bottom w:val="single" w:sz="8" w:space="0" w:color="auto"/>
              <w:right w:val="single" w:sz="8" w:space="0" w:color="auto"/>
            </w:tcBorders>
            <w:shd w:val="clear" w:color="auto" w:fill="auto"/>
            <w:noWrap/>
            <w:vAlign w:val="bottom"/>
            <w:hideMark/>
          </w:tcPr>
          <w:p w14:paraId="170C243B"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766</w:t>
            </w:r>
          </w:p>
        </w:tc>
        <w:tc>
          <w:tcPr>
            <w:tcW w:w="1701" w:type="dxa"/>
            <w:tcBorders>
              <w:top w:val="nil"/>
              <w:left w:val="nil"/>
              <w:bottom w:val="single" w:sz="8" w:space="0" w:color="auto"/>
              <w:right w:val="single" w:sz="8" w:space="0" w:color="auto"/>
            </w:tcBorders>
            <w:shd w:val="clear" w:color="auto" w:fill="auto"/>
            <w:noWrap/>
            <w:vAlign w:val="bottom"/>
            <w:hideMark/>
          </w:tcPr>
          <w:p w14:paraId="47D6A14F"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47.61%</w:t>
            </w:r>
          </w:p>
        </w:tc>
        <w:tc>
          <w:tcPr>
            <w:tcW w:w="1701" w:type="dxa"/>
            <w:tcBorders>
              <w:top w:val="nil"/>
              <w:left w:val="nil"/>
              <w:bottom w:val="single" w:sz="8" w:space="0" w:color="auto"/>
              <w:right w:val="single" w:sz="8" w:space="0" w:color="auto"/>
            </w:tcBorders>
            <w:shd w:val="clear" w:color="auto" w:fill="auto"/>
            <w:noWrap/>
            <w:vAlign w:val="bottom"/>
            <w:hideMark/>
          </w:tcPr>
          <w:p w14:paraId="0FF71E2E"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791</w:t>
            </w:r>
          </w:p>
        </w:tc>
        <w:tc>
          <w:tcPr>
            <w:tcW w:w="1560" w:type="dxa"/>
            <w:tcBorders>
              <w:top w:val="nil"/>
              <w:left w:val="nil"/>
              <w:bottom w:val="single" w:sz="8" w:space="0" w:color="auto"/>
              <w:right w:val="single" w:sz="8" w:space="0" w:color="auto"/>
            </w:tcBorders>
            <w:shd w:val="clear" w:color="auto" w:fill="auto"/>
            <w:noWrap/>
            <w:vAlign w:val="bottom"/>
            <w:hideMark/>
          </w:tcPr>
          <w:p w14:paraId="164D9352"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49.16%</w:t>
            </w:r>
          </w:p>
        </w:tc>
        <w:tc>
          <w:tcPr>
            <w:tcW w:w="1417" w:type="dxa"/>
            <w:tcBorders>
              <w:top w:val="nil"/>
              <w:left w:val="nil"/>
              <w:bottom w:val="single" w:sz="8" w:space="0" w:color="auto"/>
              <w:right w:val="single" w:sz="8" w:space="0" w:color="auto"/>
            </w:tcBorders>
            <w:shd w:val="clear" w:color="auto" w:fill="auto"/>
            <w:noWrap/>
            <w:vAlign w:val="bottom"/>
            <w:hideMark/>
          </w:tcPr>
          <w:p w14:paraId="391964A4"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52</w:t>
            </w:r>
          </w:p>
        </w:tc>
        <w:tc>
          <w:tcPr>
            <w:tcW w:w="2400" w:type="dxa"/>
            <w:tcBorders>
              <w:top w:val="nil"/>
              <w:left w:val="nil"/>
              <w:bottom w:val="single" w:sz="8" w:space="0" w:color="auto"/>
              <w:right w:val="single" w:sz="8" w:space="0" w:color="auto"/>
            </w:tcBorders>
            <w:shd w:val="clear" w:color="auto" w:fill="auto"/>
            <w:noWrap/>
            <w:vAlign w:val="bottom"/>
            <w:hideMark/>
          </w:tcPr>
          <w:p w14:paraId="1E36B5BB"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3.23%</w:t>
            </w:r>
          </w:p>
        </w:tc>
      </w:tr>
      <w:tr w:rsidR="00A36588" w:rsidRPr="000E7424" w14:paraId="4A9AB3C2" w14:textId="77777777" w:rsidTr="00181181">
        <w:trPr>
          <w:trHeight w:val="38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E8AE1F2" w14:textId="77777777" w:rsidR="00A36588" w:rsidRPr="000E7424" w:rsidRDefault="00A36588" w:rsidP="00181181">
            <w:pPr>
              <w:tabs>
                <w:tab w:val="left" w:pos="9552"/>
              </w:tabs>
              <w:rPr>
                <w:rFonts w:ascii="Arial" w:eastAsia="Times New Roman" w:hAnsi="Arial" w:cs="Arial"/>
                <w:b/>
                <w:bCs/>
                <w:color w:val="000000"/>
                <w:lang w:eastAsia="en-GB"/>
              </w:rPr>
            </w:pPr>
            <w:r w:rsidRPr="000E7424">
              <w:rPr>
                <w:rFonts w:ascii="Arial" w:eastAsia="Times New Roman" w:hAnsi="Arial" w:cs="Arial"/>
                <w:b/>
                <w:bCs/>
                <w:color w:val="000000"/>
                <w:lang w:eastAsia="en-GB"/>
              </w:rPr>
              <w:t>TOTAL</w:t>
            </w:r>
          </w:p>
        </w:tc>
        <w:tc>
          <w:tcPr>
            <w:tcW w:w="1134" w:type="dxa"/>
            <w:tcBorders>
              <w:top w:val="nil"/>
              <w:left w:val="nil"/>
              <w:bottom w:val="single" w:sz="8" w:space="0" w:color="auto"/>
              <w:right w:val="single" w:sz="8" w:space="0" w:color="auto"/>
            </w:tcBorders>
            <w:shd w:val="clear" w:color="auto" w:fill="auto"/>
            <w:noWrap/>
            <w:vAlign w:val="bottom"/>
            <w:hideMark/>
          </w:tcPr>
          <w:p w14:paraId="210ABB10"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2,179</w:t>
            </w:r>
          </w:p>
        </w:tc>
        <w:tc>
          <w:tcPr>
            <w:tcW w:w="1701" w:type="dxa"/>
            <w:tcBorders>
              <w:top w:val="nil"/>
              <w:left w:val="nil"/>
              <w:bottom w:val="single" w:sz="8" w:space="0" w:color="auto"/>
              <w:right w:val="single" w:sz="8" w:space="0" w:color="auto"/>
            </w:tcBorders>
            <w:shd w:val="clear" w:color="auto" w:fill="auto"/>
            <w:noWrap/>
            <w:vAlign w:val="bottom"/>
            <w:hideMark/>
          </w:tcPr>
          <w:p w14:paraId="33B7067E"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30.87%</w:t>
            </w:r>
          </w:p>
        </w:tc>
        <w:tc>
          <w:tcPr>
            <w:tcW w:w="1701" w:type="dxa"/>
            <w:tcBorders>
              <w:top w:val="nil"/>
              <w:left w:val="nil"/>
              <w:bottom w:val="single" w:sz="8" w:space="0" w:color="auto"/>
              <w:right w:val="single" w:sz="8" w:space="0" w:color="auto"/>
            </w:tcBorders>
            <w:shd w:val="clear" w:color="auto" w:fill="auto"/>
            <w:noWrap/>
            <w:vAlign w:val="bottom"/>
            <w:hideMark/>
          </w:tcPr>
          <w:p w14:paraId="0F80D3A9"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4,679</w:t>
            </w:r>
          </w:p>
        </w:tc>
        <w:tc>
          <w:tcPr>
            <w:tcW w:w="1560" w:type="dxa"/>
            <w:tcBorders>
              <w:top w:val="nil"/>
              <w:left w:val="nil"/>
              <w:bottom w:val="single" w:sz="8" w:space="0" w:color="auto"/>
              <w:right w:val="single" w:sz="8" w:space="0" w:color="auto"/>
            </w:tcBorders>
            <w:shd w:val="clear" w:color="auto" w:fill="auto"/>
            <w:noWrap/>
            <w:vAlign w:val="bottom"/>
            <w:hideMark/>
          </w:tcPr>
          <w:p w14:paraId="5C44C399"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66.28%</w:t>
            </w:r>
          </w:p>
        </w:tc>
        <w:tc>
          <w:tcPr>
            <w:tcW w:w="1417" w:type="dxa"/>
            <w:tcBorders>
              <w:top w:val="nil"/>
              <w:left w:val="nil"/>
              <w:bottom w:val="single" w:sz="8" w:space="0" w:color="auto"/>
              <w:right w:val="single" w:sz="8" w:space="0" w:color="auto"/>
            </w:tcBorders>
            <w:shd w:val="clear" w:color="auto" w:fill="auto"/>
            <w:noWrap/>
            <w:vAlign w:val="bottom"/>
            <w:hideMark/>
          </w:tcPr>
          <w:p w14:paraId="5510B02E"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201</w:t>
            </w:r>
          </w:p>
        </w:tc>
        <w:tc>
          <w:tcPr>
            <w:tcW w:w="2400" w:type="dxa"/>
            <w:tcBorders>
              <w:top w:val="nil"/>
              <w:left w:val="nil"/>
              <w:bottom w:val="single" w:sz="8" w:space="0" w:color="auto"/>
              <w:right w:val="single" w:sz="8" w:space="0" w:color="auto"/>
            </w:tcBorders>
            <w:shd w:val="clear" w:color="auto" w:fill="auto"/>
            <w:noWrap/>
            <w:vAlign w:val="bottom"/>
            <w:hideMark/>
          </w:tcPr>
          <w:p w14:paraId="7C43A841"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2.85%</w:t>
            </w:r>
          </w:p>
        </w:tc>
      </w:tr>
    </w:tbl>
    <w:p w14:paraId="2BEEF3EB" w14:textId="77777777" w:rsidR="00A36588" w:rsidRDefault="00A36588" w:rsidP="00A36588">
      <w:pPr>
        <w:tabs>
          <w:tab w:val="left" w:pos="9552"/>
        </w:tabs>
        <w:rPr>
          <w:rFonts w:ascii="Arial" w:hAnsi="Arial" w:cs="Arial"/>
        </w:rPr>
      </w:pPr>
    </w:p>
    <w:p w14:paraId="09103B11" w14:textId="77777777" w:rsidR="00A36588" w:rsidRDefault="00A36588" w:rsidP="00A36588">
      <w:pPr>
        <w:tabs>
          <w:tab w:val="left" w:pos="9552"/>
        </w:tabs>
        <w:rPr>
          <w:rFonts w:ascii="Arial" w:hAnsi="Arial" w:cs="Arial"/>
        </w:rPr>
      </w:pPr>
    </w:p>
    <w:p w14:paraId="4EB6B399" w14:textId="77777777" w:rsidR="00A36588" w:rsidRDefault="00A36588" w:rsidP="00A36588">
      <w:pPr>
        <w:tabs>
          <w:tab w:val="left" w:pos="9552"/>
        </w:tabs>
        <w:rPr>
          <w:rFonts w:ascii="Arial" w:hAnsi="Arial" w:cs="Arial"/>
        </w:rPr>
      </w:pPr>
    </w:p>
    <w:p w14:paraId="5214C5CE" w14:textId="77777777" w:rsidR="00A36588" w:rsidRDefault="00A36588" w:rsidP="00A36588">
      <w:pPr>
        <w:tabs>
          <w:tab w:val="left" w:pos="9552"/>
        </w:tabs>
        <w:rPr>
          <w:rFonts w:ascii="Arial" w:hAnsi="Arial" w:cs="Arial"/>
        </w:rPr>
      </w:pPr>
    </w:p>
    <w:p w14:paraId="01F545C8" w14:textId="77777777" w:rsidR="00A36588" w:rsidRDefault="00A36588" w:rsidP="00A36588">
      <w:pPr>
        <w:tabs>
          <w:tab w:val="left" w:pos="9552"/>
        </w:tabs>
        <w:rPr>
          <w:rFonts w:ascii="Arial" w:hAnsi="Arial" w:cs="Arial"/>
        </w:rPr>
      </w:pPr>
    </w:p>
    <w:p w14:paraId="3982CA3F" w14:textId="77777777" w:rsidR="00A36588" w:rsidRDefault="00A36588" w:rsidP="00A36588">
      <w:pPr>
        <w:tabs>
          <w:tab w:val="left" w:pos="9552"/>
        </w:tabs>
        <w:rPr>
          <w:rFonts w:ascii="Arial" w:hAnsi="Arial" w:cs="Arial"/>
        </w:rPr>
      </w:pPr>
    </w:p>
    <w:p w14:paraId="69959C64" w14:textId="77777777" w:rsidR="00A36588" w:rsidRDefault="00A36588" w:rsidP="00A36588">
      <w:pPr>
        <w:tabs>
          <w:tab w:val="left" w:pos="9552"/>
        </w:tabs>
        <w:spacing w:after="0"/>
        <w:rPr>
          <w:rFonts w:ascii="Arial" w:hAnsi="Arial" w:cs="Arial"/>
        </w:rPr>
      </w:pPr>
    </w:p>
    <w:p w14:paraId="2B9DA071" w14:textId="77777777" w:rsidR="00A36588" w:rsidRPr="000E7424" w:rsidRDefault="00A36588" w:rsidP="00A36588">
      <w:pPr>
        <w:tabs>
          <w:tab w:val="left" w:pos="9552"/>
        </w:tabs>
        <w:rPr>
          <w:rFonts w:ascii="Arial" w:hAnsi="Arial" w:cs="Arial"/>
        </w:rPr>
      </w:pPr>
      <w:r w:rsidRPr="000E7424">
        <w:rPr>
          <w:rFonts w:ascii="Arial" w:hAnsi="Arial" w:cs="Arial"/>
        </w:rPr>
        <w:t>The table below is a breakdown of pay grades by race:</w:t>
      </w:r>
    </w:p>
    <w:tbl>
      <w:tblPr>
        <w:tblpPr w:leftFromText="180" w:rightFromText="180" w:vertAnchor="text" w:horzAnchor="page" w:tblpX="551" w:tblpY="-44"/>
        <w:tblW w:w="11189" w:type="dxa"/>
        <w:tblCellMar>
          <w:left w:w="0" w:type="dxa"/>
          <w:right w:w="0" w:type="dxa"/>
        </w:tblCellMar>
        <w:tblLook w:val="04A0" w:firstRow="1" w:lastRow="0" w:firstColumn="1" w:lastColumn="0" w:noHBand="0" w:noVBand="1"/>
      </w:tblPr>
      <w:tblGrid>
        <w:gridCol w:w="1755"/>
        <w:gridCol w:w="1110"/>
        <w:gridCol w:w="1485"/>
        <w:gridCol w:w="1080"/>
        <w:gridCol w:w="1470"/>
        <w:gridCol w:w="1155"/>
        <w:gridCol w:w="1418"/>
        <w:gridCol w:w="1716"/>
      </w:tblGrid>
      <w:tr w:rsidR="00A36588" w:rsidRPr="000E7424" w14:paraId="67E0BC37" w14:textId="77777777" w:rsidTr="00181181">
        <w:trPr>
          <w:trHeight w:val="840"/>
        </w:trPr>
        <w:tc>
          <w:tcPr>
            <w:tcW w:w="1755" w:type="dxa"/>
            <w:tcBorders>
              <w:top w:val="single" w:sz="8" w:space="0" w:color="auto"/>
              <w:left w:val="single" w:sz="8" w:space="0" w:color="auto"/>
              <w:bottom w:val="single" w:sz="8" w:space="0" w:color="auto"/>
              <w:right w:val="single" w:sz="8" w:space="0" w:color="auto"/>
            </w:tcBorders>
            <w:shd w:val="clear" w:color="auto" w:fill="4F81BD" w:themeFill="accent1"/>
            <w:noWrap/>
            <w:tcMar>
              <w:top w:w="0" w:type="dxa"/>
              <w:left w:w="108" w:type="dxa"/>
              <w:bottom w:w="0" w:type="dxa"/>
              <w:right w:w="108" w:type="dxa"/>
            </w:tcMar>
            <w:vAlign w:val="bottom"/>
            <w:hideMark/>
          </w:tcPr>
          <w:p w14:paraId="5920C90B" w14:textId="77777777" w:rsidR="00A36588" w:rsidRPr="000E7424" w:rsidRDefault="00A36588" w:rsidP="00181181">
            <w:pPr>
              <w:tabs>
                <w:tab w:val="left" w:pos="9552"/>
              </w:tabs>
              <w:rPr>
                <w:rFonts w:ascii="Arial" w:eastAsiaTheme="minorEastAsia" w:hAnsi="Arial" w:cs="Arial"/>
                <w:b/>
                <w:bCs/>
                <w:color w:val="000000"/>
                <w:lang w:eastAsia="en-GB"/>
              </w:rPr>
            </w:pPr>
            <w:proofErr w:type="spellStart"/>
            <w:r w:rsidRPr="000E7424">
              <w:rPr>
                <w:rFonts w:ascii="Arial" w:hAnsi="Arial" w:cs="Arial"/>
                <w:b/>
                <w:bCs/>
                <w:color w:val="000000" w:themeColor="text1"/>
                <w:lang w:eastAsia="en-GB"/>
              </w:rPr>
              <w:t>AfC</w:t>
            </w:r>
            <w:proofErr w:type="spellEnd"/>
            <w:r w:rsidRPr="000E7424">
              <w:rPr>
                <w:rFonts w:ascii="Arial" w:hAnsi="Arial" w:cs="Arial"/>
                <w:b/>
                <w:bCs/>
                <w:color w:val="000000" w:themeColor="text1"/>
                <w:lang w:eastAsia="en-GB"/>
              </w:rPr>
              <w:t xml:space="preserve"> Pay Band</w:t>
            </w:r>
          </w:p>
        </w:tc>
        <w:tc>
          <w:tcPr>
            <w:tcW w:w="1110" w:type="dxa"/>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vAlign w:val="bottom"/>
            <w:hideMark/>
          </w:tcPr>
          <w:p w14:paraId="59CD9B76"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BME</w:t>
            </w:r>
          </w:p>
        </w:tc>
        <w:tc>
          <w:tcPr>
            <w:tcW w:w="1485" w:type="dxa"/>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vAlign w:val="bottom"/>
            <w:hideMark/>
          </w:tcPr>
          <w:p w14:paraId="3FD1F05C"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 BME</w:t>
            </w:r>
          </w:p>
        </w:tc>
        <w:tc>
          <w:tcPr>
            <w:tcW w:w="1080" w:type="dxa"/>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vAlign w:val="bottom"/>
            <w:hideMark/>
          </w:tcPr>
          <w:p w14:paraId="73FEC1E0"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White</w:t>
            </w:r>
          </w:p>
        </w:tc>
        <w:tc>
          <w:tcPr>
            <w:tcW w:w="1470" w:type="dxa"/>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vAlign w:val="bottom"/>
            <w:hideMark/>
          </w:tcPr>
          <w:p w14:paraId="0F60A105"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 White</w:t>
            </w:r>
          </w:p>
        </w:tc>
        <w:tc>
          <w:tcPr>
            <w:tcW w:w="1155" w:type="dxa"/>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vAlign w:val="bottom"/>
            <w:hideMark/>
          </w:tcPr>
          <w:p w14:paraId="090DED00"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Not Stated</w:t>
            </w:r>
          </w:p>
        </w:tc>
        <w:tc>
          <w:tcPr>
            <w:tcW w:w="1418" w:type="dxa"/>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vAlign w:val="bottom"/>
            <w:hideMark/>
          </w:tcPr>
          <w:p w14:paraId="7649C49B"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 Not Stated</w:t>
            </w:r>
          </w:p>
        </w:tc>
        <w:tc>
          <w:tcPr>
            <w:tcW w:w="1716" w:type="dxa"/>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vAlign w:val="bottom"/>
            <w:hideMark/>
          </w:tcPr>
          <w:p w14:paraId="07086393"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Total in Pay band</w:t>
            </w:r>
          </w:p>
        </w:tc>
      </w:tr>
      <w:tr w:rsidR="00A36588" w:rsidRPr="000E7424" w14:paraId="4B5FC0E3"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A18490"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2</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676872"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68</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581EB8FA"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17.00%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B2750"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313</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1A0FEF66"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78.25%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5FCC88"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19</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26366B41"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4.75%</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10BD5B2E"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400</w:t>
            </w:r>
          </w:p>
        </w:tc>
      </w:tr>
      <w:tr w:rsidR="00A36588" w:rsidRPr="000E7424" w14:paraId="0A29C163"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77A1C0"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3</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852210"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857</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01787517"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41.60%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0AC74"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1,170</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3754A15A"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56.80%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BEDC69"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33</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691A732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1.60%</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36C04BD3"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2,060</w:t>
            </w:r>
          </w:p>
        </w:tc>
      </w:tr>
      <w:tr w:rsidR="00A36588" w:rsidRPr="000E7424" w14:paraId="70C3EC1B"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EC9D5F"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4</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5E3E5F"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159</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788B9BE6"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16.79%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E8BB2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739</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61604631"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78.04%</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71B824"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49</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36B21DF6"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5.17%</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6A343AE2"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947</w:t>
            </w:r>
          </w:p>
        </w:tc>
      </w:tr>
      <w:tr w:rsidR="00A36588" w:rsidRPr="000E7424" w14:paraId="2CA403E1"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45B940"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5</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0A664"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342</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1D5C1183"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40.14%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18977E"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481</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7A78B2DB"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56.46%</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7285F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29</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5B89A7FF"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3.40%</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4AFED0FB"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852</w:t>
            </w:r>
          </w:p>
        </w:tc>
      </w:tr>
      <w:tr w:rsidR="00A36588" w:rsidRPr="000E7424" w14:paraId="6413C6A3"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358849"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6</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A1F2D"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325</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624AE633"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26.77%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6E1F19"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868</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11ABE37E"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71.50%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431159"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21</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49FD3C21"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1.73%</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12F88BB1"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1,214</w:t>
            </w:r>
          </w:p>
        </w:tc>
      </w:tr>
      <w:tr w:rsidR="00A36588" w:rsidRPr="000E7424" w14:paraId="5CA92D72"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B8440A"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7</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1711E4"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155</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35164500"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20.05%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61DD6E"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601</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6F7882ED"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77.75%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3A040"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17</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2667B5A8"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2.20%</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73B0B1FD"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773</w:t>
            </w:r>
          </w:p>
        </w:tc>
      </w:tr>
      <w:tr w:rsidR="00A36588" w:rsidRPr="000E7424" w14:paraId="2D7117FA"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41560A"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8 - Range A</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E9F7E"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52</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548960CA"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18.44%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53122E"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227</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4EED3EA9"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80.50%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89ABF6"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02970304"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1.06%</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765B73A9"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282</w:t>
            </w:r>
          </w:p>
        </w:tc>
      </w:tr>
      <w:tr w:rsidR="00A36588" w:rsidRPr="000E7424" w14:paraId="73BA8241"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B1ACDB"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8 - Range B</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4141FF"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29</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678DB7D0"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20.86%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1A12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109</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7F1FE892"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78.42%</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2A2AF8"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1ABF1E60"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0.72%</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30FCF7C8"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139</w:t>
            </w:r>
          </w:p>
        </w:tc>
      </w:tr>
      <w:tr w:rsidR="00A36588" w:rsidRPr="000E7424" w14:paraId="74ECC310"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23E635"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8 - Range C</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35CFD"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7</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7C5338AA"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13.21%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1BB09"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45</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006103B1"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84.91%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7525A"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737F113F"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1.89%</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6CC5A23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53</w:t>
            </w:r>
          </w:p>
        </w:tc>
      </w:tr>
      <w:tr w:rsidR="00A36588" w:rsidRPr="000E7424" w14:paraId="74954247"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0427BC"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8 - Range D</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538EE"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7</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4815CFF0"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19.44%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D6FCFD"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28</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5DB41E5F"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77.78%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FDFFA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684554AD"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2.78%</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46CE54BA"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36</w:t>
            </w:r>
          </w:p>
        </w:tc>
      </w:tr>
      <w:tr w:rsidR="00A36588" w:rsidRPr="000E7424" w14:paraId="4161C695"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C8E6A"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Band 9</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02C48"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themeColor="text1"/>
                <w:lang w:eastAsia="en-GB"/>
              </w:rPr>
              <w:t xml:space="preserve"> 0 </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14FFB3B4"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0.00%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DC972"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7</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3045F813"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100.00%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ACCB1"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themeColor="text1"/>
                <w:lang w:eastAsia="en-GB"/>
              </w:rPr>
              <w:t xml:space="preserve"> 0 </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5B9B695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0.00%</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7424C33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7</w:t>
            </w:r>
          </w:p>
        </w:tc>
      </w:tr>
      <w:tr w:rsidR="00A36588" w:rsidRPr="000E7424" w14:paraId="2452C46D"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0C258F"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lang w:eastAsia="en-GB"/>
              </w:rPr>
              <w:t>Board Director/VSM</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9BA36"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5</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40398C99"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41.67%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D3A178"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6</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23E67B45"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50.00%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13D783"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003FA771"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8.33%</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25074E47"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12</w:t>
            </w:r>
          </w:p>
        </w:tc>
      </w:tr>
      <w:tr w:rsidR="00A36588" w:rsidRPr="000E7424" w14:paraId="520F0F74"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46482A"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themeColor="text1"/>
                <w:lang w:eastAsia="en-GB"/>
              </w:rPr>
              <w:t>Medical</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B4070"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170</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5EF3BF9C"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66.15%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0AA2FB"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62</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5B1B52D2"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24.12%</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521BF"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25</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712C85F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9.73%</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541C0595"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257</w:t>
            </w:r>
          </w:p>
        </w:tc>
      </w:tr>
      <w:tr w:rsidR="00A36588" w:rsidRPr="000E7424" w14:paraId="64F86CD7" w14:textId="77777777" w:rsidTr="00181181">
        <w:trPr>
          <w:trHeight w:val="3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D0A551" w14:textId="77777777" w:rsidR="00A36588" w:rsidRPr="000E7424" w:rsidRDefault="00A36588" w:rsidP="00181181">
            <w:pPr>
              <w:tabs>
                <w:tab w:val="left" w:pos="9552"/>
              </w:tabs>
              <w:rPr>
                <w:rFonts w:ascii="Arial" w:hAnsi="Arial" w:cs="Arial"/>
                <w:color w:val="000000"/>
                <w:lang w:eastAsia="en-GB"/>
              </w:rPr>
            </w:pPr>
            <w:r w:rsidRPr="000E7424">
              <w:rPr>
                <w:rFonts w:ascii="Arial" w:hAnsi="Arial" w:cs="Arial"/>
                <w:color w:val="000000" w:themeColor="text1"/>
                <w:lang w:eastAsia="en-GB"/>
              </w:rPr>
              <w:t>Other</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62D58A"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43A6E30D"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11.11%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15458"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23</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54EDA004" w14:textId="77777777" w:rsidR="00A36588" w:rsidRPr="000E7424" w:rsidRDefault="00A36588" w:rsidP="00181181">
            <w:pPr>
              <w:tabs>
                <w:tab w:val="left" w:pos="9552"/>
              </w:tabs>
              <w:jc w:val="center"/>
              <w:rPr>
                <w:rFonts w:ascii="Arial" w:hAnsi="Arial" w:cs="Arial"/>
                <w:color w:val="000000" w:themeColor="text1"/>
                <w:lang w:eastAsia="en-GB"/>
              </w:rPr>
            </w:pPr>
            <w:r w:rsidRPr="000E7424">
              <w:rPr>
                <w:rFonts w:ascii="Arial" w:hAnsi="Arial" w:cs="Arial"/>
                <w:color w:val="000000" w:themeColor="text1"/>
                <w:lang w:eastAsia="en-GB"/>
              </w:rPr>
              <w:t>85.19%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09098"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1</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6B57FA92"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3.70%</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2934ADB3" w14:textId="77777777" w:rsidR="00A36588" w:rsidRPr="000E7424" w:rsidRDefault="00A36588" w:rsidP="00181181">
            <w:pPr>
              <w:tabs>
                <w:tab w:val="left" w:pos="9552"/>
              </w:tabs>
              <w:jc w:val="center"/>
              <w:rPr>
                <w:rFonts w:ascii="Arial" w:hAnsi="Arial" w:cs="Arial"/>
                <w:color w:val="000000"/>
                <w:lang w:eastAsia="en-GB"/>
              </w:rPr>
            </w:pPr>
            <w:r w:rsidRPr="000E7424">
              <w:rPr>
                <w:rFonts w:ascii="Arial" w:hAnsi="Arial" w:cs="Arial"/>
                <w:color w:val="000000"/>
                <w:lang w:eastAsia="en-GB"/>
              </w:rPr>
              <w:t>27</w:t>
            </w:r>
          </w:p>
        </w:tc>
      </w:tr>
      <w:tr w:rsidR="00A36588" w:rsidRPr="000E7424" w14:paraId="2C9F4D26" w14:textId="77777777" w:rsidTr="00181181">
        <w:trPr>
          <w:trHeight w:val="36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745284"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themeColor="text1"/>
                <w:lang w:eastAsia="en-GB"/>
              </w:rPr>
              <w:t>Total</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8E66B2" w14:textId="77777777" w:rsidR="00A36588" w:rsidRPr="000E7424" w:rsidRDefault="00A36588" w:rsidP="00181181">
            <w:pPr>
              <w:tabs>
                <w:tab w:val="left" w:pos="9552"/>
              </w:tabs>
              <w:jc w:val="center"/>
              <w:rPr>
                <w:rFonts w:ascii="Arial" w:hAnsi="Arial" w:cs="Arial"/>
                <w:b/>
                <w:bCs/>
                <w:color w:val="000000" w:themeColor="text1"/>
                <w:lang w:eastAsia="en-GB"/>
              </w:rPr>
            </w:pPr>
          </w:p>
          <w:p w14:paraId="6806A536"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2,179</w:t>
            </w:r>
          </w:p>
        </w:tc>
        <w:tc>
          <w:tcPr>
            <w:tcW w:w="1485"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61FCEDD8"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30.87%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3D6085"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4,679</w:t>
            </w:r>
          </w:p>
        </w:tc>
        <w:tc>
          <w:tcPr>
            <w:tcW w:w="147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30AC9B1F" w14:textId="77777777" w:rsidR="00A36588" w:rsidRPr="000E7424" w:rsidRDefault="00A36588" w:rsidP="00181181">
            <w:pPr>
              <w:tabs>
                <w:tab w:val="left" w:pos="9552"/>
              </w:tabs>
              <w:jc w:val="center"/>
              <w:rPr>
                <w:rFonts w:ascii="Arial" w:hAnsi="Arial" w:cs="Arial"/>
                <w:b/>
                <w:bCs/>
                <w:color w:val="000000" w:themeColor="text1"/>
                <w:lang w:eastAsia="en-GB"/>
              </w:rPr>
            </w:pPr>
            <w:r w:rsidRPr="000E7424">
              <w:rPr>
                <w:rFonts w:ascii="Arial" w:hAnsi="Arial" w:cs="Arial"/>
                <w:b/>
                <w:bCs/>
                <w:color w:val="000000" w:themeColor="text1"/>
                <w:lang w:eastAsia="en-GB"/>
              </w:rPr>
              <w:t>66.28%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C7AEB4"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201</w:t>
            </w:r>
          </w:p>
        </w:tc>
        <w:tc>
          <w:tcPr>
            <w:tcW w:w="1418"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vAlign w:val="bottom"/>
            <w:hideMark/>
          </w:tcPr>
          <w:p w14:paraId="4F86234E"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2.85%</w:t>
            </w:r>
          </w:p>
        </w:tc>
        <w:tc>
          <w:tcPr>
            <w:tcW w:w="1716" w:type="dxa"/>
            <w:tcBorders>
              <w:top w:val="nil"/>
              <w:left w:val="nil"/>
              <w:bottom w:val="single" w:sz="8" w:space="0" w:color="auto"/>
              <w:right w:val="single" w:sz="8" w:space="0" w:color="auto"/>
            </w:tcBorders>
            <w:shd w:val="clear" w:color="auto" w:fill="F2DBDB" w:themeFill="accent2" w:themeFillTint="33"/>
            <w:noWrap/>
            <w:tcMar>
              <w:top w:w="0" w:type="dxa"/>
              <w:left w:w="108" w:type="dxa"/>
              <w:bottom w:w="0" w:type="dxa"/>
              <w:right w:w="108" w:type="dxa"/>
            </w:tcMar>
            <w:vAlign w:val="bottom"/>
            <w:hideMark/>
          </w:tcPr>
          <w:p w14:paraId="68054119" w14:textId="77777777" w:rsidR="00A36588" w:rsidRPr="000E7424" w:rsidRDefault="00A36588" w:rsidP="00181181">
            <w:pPr>
              <w:tabs>
                <w:tab w:val="left" w:pos="9552"/>
              </w:tabs>
              <w:jc w:val="center"/>
              <w:rPr>
                <w:rFonts w:ascii="Arial" w:hAnsi="Arial" w:cs="Arial"/>
                <w:b/>
                <w:bCs/>
                <w:color w:val="000000"/>
                <w:lang w:eastAsia="en-GB"/>
              </w:rPr>
            </w:pPr>
            <w:r w:rsidRPr="000E7424">
              <w:rPr>
                <w:rFonts w:ascii="Arial" w:hAnsi="Arial" w:cs="Arial"/>
                <w:b/>
                <w:bCs/>
                <w:color w:val="000000"/>
                <w:lang w:eastAsia="en-GB"/>
              </w:rPr>
              <w:t>7,059</w:t>
            </w:r>
          </w:p>
        </w:tc>
      </w:tr>
    </w:tbl>
    <w:p w14:paraId="765F8850" w14:textId="77777777" w:rsidR="00A36588" w:rsidRDefault="00A36588" w:rsidP="00A36588">
      <w:pPr>
        <w:tabs>
          <w:tab w:val="left" w:pos="9552"/>
        </w:tabs>
        <w:rPr>
          <w:rFonts w:ascii="Arial" w:hAnsi="Arial" w:cs="Arial"/>
        </w:rPr>
      </w:pPr>
    </w:p>
    <w:p w14:paraId="49FD5947" w14:textId="77777777" w:rsidR="00A36588" w:rsidRPr="000E7424" w:rsidRDefault="00A36588" w:rsidP="00A36588">
      <w:pPr>
        <w:tabs>
          <w:tab w:val="left" w:pos="9552"/>
        </w:tabs>
        <w:rPr>
          <w:rFonts w:ascii="Arial" w:hAnsi="Arial" w:cs="Arial"/>
        </w:rPr>
      </w:pPr>
      <w:r w:rsidRPr="000E7424">
        <w:rPr>
          <w:rFonts w:ascii="Arial" w:hAnsi="Arial" w:cs="Arial"/>
        </w:rPr>
        <w:t xml:space="preserve">The data in the table above demonstrates: </w:t>
      </w:r>
    </w:p>
    <w:p w14:paraId="1756C825" w14:textId="77777777" w:rsidR="00A36588" w:rsidRPr="000E7424" w:rsidRDefault="00A36588" w:rsidP="00A36588">
      <w:pPr>
        <w:pStyle w:val="ListParagraph"/>
        <w:widowControl w:val="0"/>
        <w:numPr>
          <w:ilvl w:val="0"/>
          <w:numId w:val="5"/>
        </w:numPr>
        <w:tabs>
          <w:tab w:val="left" w:pos="9552"/>
        </w:tabs>
        <w:autoSpaceDE w:val="0"/>
        <w:autoSpaceDN w:val="0"/>
        <w:spacing w:after="0" w:line="291" w:lineRule="exact"/>
        <w:contextualSpacing w:val="0"/>
        <w:rPr>
          <w:rFonts w:ascii="Arial" w:eastAsia="Verdana" w:hAnsi="Arial" w:cs="Arial"/>
        </w:rPr>
      </w:pPr>
      <w:r>
        <w:rPr>
          <w:rFonts w:ascii="Arial" w:eastAsia="Verdana" w:hAnsi="Arial" w:cs="Arial"/>
        </w:rPr>
        <w:t>A</w:t>
      </w:r>
      <w:r w:rsidRPr="000E7424">
        <w:rPr>
          <w:rFonts w:ascii="Arial" w:eastAsia="Verdana" w:hAnsi="Arial" w:cs="Arial"/>
        </w:rPr>
        <w:t xml:space="preserve"> large proportion of the total BME workforce are paid at Band 3 (857)</w:t>
      </w:r>
    </w:p>
    <w:p w14:paraId="7748F4A0" w14:textId="77777777" w:rsidR="00A36588" w:rsidRPr="000E7424" w:rsidRDefault="00A36588" w:rsidP="00A36588">
      <w:pPr>
        <w:pStyle w:val="ListParagraph"/>
        <w:widowControl w:val="0"/>
        <w:numPr>
          <w:ilvl w:val="0"/>
          <w:numId w:val="5"/>
        </w:numPr>
        <w:tabs>
          <w:tab w:val="left" w:pos="9552"/>
        </w:tabs>
        <w:autoSpaceDE w:val="0"/>
        <w:autoSpaceDN w:val="0"/>
        <w:spacing w:after="0" w:line="291" w:lineRule="exact"/>
        <w:contextualSpacing w:val="0"/>
        <w:rPr>
          <w:rFonts w:ascii="Arial" w:eastAsia="Verdana" w:hAnsi="Arial" w:cs="Arial"/>
        </w:rPr>
      </w:pPr>
      <w:r w:rsidRPr="000E7424">
        <w:rPr>
          <w:rFonts w:ascii="Arial" w:eastAsia="Verdana" w:hAnsi="Arial" w:cs="Arial"/>
        </w:rPr>
        <w:t>BME staff representation  consistently decreases from Band 5 to Band 9</w:t>
      </w:r>
    </w:p>
    <w:p w14:paraId="44DD9F60" w14:textId="77777777" w:rsidR="00A36588" w:rsidRPr="000E7424" w:rsidRDefault="00A36588" w:rsidP="00A36588">
      <w:pPr>
        <w:pStyle w:val="ListParagraph"/>
        <w:widowControl w:val="0"/>
        <w:numPr>
          <w:ilvl w:val="0"/>
          <w:numId w:val="5"/>
        </w:numPr>
        <w:tabs>
          <w:tab w:val="left" w:pos="9552"/>
        </w:tabs>
        <w:autoSpaceDE w:val="0"/>
        <w:autoSpaceDN w:val="0"/>
        <w:spacing w:after="0" w:line="291" w:lineRule="exact"/>
        <w:contextualSpacing w:val="0"/>
        <w:rPr>
          <w:rFonts w:ascii="Arial" w:eastAsia="Verdana" w:hAnsi="Arial" w:cs="Arial"/>
        </w:rPr>
      </w:pPr>
      <w:r>
        <w:rPr>
          <w:rFonts w:ascii="Arial" w:eastAsia="Verdana" w:hAnsi="Arial" w:cs="Arial"/>
        </w:rPr>
        <w:t>T</w:t>
      </w:r>
      <w:r w:rsidRPr="000E7424">
        <w:rPr>
          <w:rFonts w:ascii="Arial" w:eastAsia="Verdana" w:hAnsi="Arial" w:cs="Arial"/>
        </w:rPr>
        <w:t>here are no BME staff in a Band 9 role</w:t>
      </w:r>
    </w:p>
    <w:p w14:paraId="05380C75" w14:textId="77777777" w:rsidR="00A36588" w:rsidRPr="000E7424" w:rsidRDefault="00A36588" w:rsidP="00A36588">
      <w:pPr>
        <w:pStyle w:val="ListParagraph"/>
        <w:widowControl w:val="0"/>
        <w:numPr>
          <w:ilvl w:val="0"/>
          <w:numId w:val="5"/>
        </w:numPr>
        <w:tabs>
          <w:tab w:val="left" w:pos="9552"/>
        </w:tabs>
        <w:autoSpaceDE w:val="0"/>
        <w:autoSpaceDN w:val="0"/>
        <w:spacing w:after="0" w:line="291" w:lineRule="exact"/>
        <w:contextualSpacing w:val="0"/>
        <w:rPr>
          <w:rFonts w:ascii="Arial" w:hAnsi="Arial" w:cs="Arial"/>
        </w:rPr>
      </w:pPr>
      <w:r w:rsidRPr="000E7424">
        <w:rPr>
          <w:rFonts w:ascii="Arial" w:eastAsia="Verdana" w:hAnsi="Arial" w:cs="Arial"/>
        </w:rPr>
        <w:t>There is a greater proportion of BME medical staff compared with white medical staff (66.15% vs. 24.12%)</w:t>
      </w:r>
      <w:r>
        <w:rPr>
          <w:rFonts w:ascii="Arial" w:eastAsia="Verdana" w:hAnsi="Arial" w:cs="Arial"/>
        </w:rPr>
        <w:t>.</w:t>
      </w:r>
    </w:p>
    <w:p w14:paraId="52428B2B" w14:textId="77777777" w:rsidR="00A36588" w:rsidRDefault="00A36588" w:rsidP="00A36588">
      <w:pPr>
        <w:tabs>
          <w:tab w:val="left" w:pos="9552"/>
        </w:tabs>
        <w:rPr>
          <w:rFonts w:ascii="Arial" w:hAnsi="Arial" w:cs="Arial"/>
        </w:rPr>
      </w:pPr>
    </w:p>
    <w:p w14:paraId="5DE1BFF8" w14:textId="77777777" w:rsidR="00A36588" w:rsidRDefault="00A36588" w:rsidP="00A36588">
      <w:pPr>
        <w:tabs>
          <w:tab w:val="left" w:pos="9552"/>
        </w:tabs>
        <w:rPr>
          <w:rFonts w:ascii="Arial" w:hAnsi="Arial" w:cs="Arial"/>
        </w:rPr>
      </w:pPr>
    </w:p>
    <w:p w14:paraId="388E74A5" w14:textId="77777777" w:rsidR="00A36588" w:rsidRDefault="00A36588" w:rsidP="00A36588">
      <w:pPr>
        <w:tabs>
          <w:tab w:val="left" w:pos="9552"/>
        </w:tabs>
        <w:rPr>
          <w:rFonts w:ascii="Arial" w:hAnsi="Arial" w:cs="Arial"/>
        </w:rPr>
      </w:pPr>
    </w:p>
    <w:p w14:paraId="4C1DB8D4" w14:textId="77777777" w:rsidR="00A36588" w:rsidRPr="000E7424" w:rsidRDefault="00A36588" w:rsidP="00A36588">
      <w:pPr>
        <w:tabs>
          <w:tab w:val="left" w:pos="9552"/>
        </w:tabs>
        <w:spacing w:after="0"/>
        <w:rPr>
          <w:rFonts w:ascii="Arial" w:hAnsi="Arial" w:cs="Arial"/>
        </w:rPr>
      </w:pPr>
    </w:p>
    <w:p w14:paraId="2B488385" w14:textId="77777777" w:rsidR="00A36588" w:rsidRPr="000E7424" w:rsidRDefault="00A36588" w:rsidP="00A36588">
      <w:pPr>
        <w:tabs>
          <w:tab w:val="left" w:pos="9552"/>
        </w:tabs>
        <w:rPr>
          <w:rFonts w:ascii="Arial" w:hAnsi="Arial" w:cs="Arial"/>
        </w:rPr>
      </w:pPr>
      <w:r w:rsidRPr="000E7424">
        <w:rPr>
          <w:rFonts w:ascii="Arial" w:hAnsi="Arial" w:cs="Arial"/>
        </w:rPr>
        <w:t>The table below shows the bonus payments broken down by gender and race as of 31</w:t>
      </w:r>
      <w:r w:rsidRPr="000E7424">
        <w:rPr>
          <w:rFonts w:ascii="Arial" w:hAnsi="Arial" w:cs="Arial"/>
          <w:vertAlign w:val="superscript"/>
        </w:rPr>
        <w:t>st</w:t>
      </w:r>
      <w:r w:rsidRPr="000E7424">
        <w:rPr>
          <w:rFonts w:ascii="Arial" w:hAnsi="Arial" w:cs="Arial"/>
        </w:rPr>
        <w:t xml:space="preserve"> March 2023 for medical staff.</w:t>
      </w:r>
    </w:p>
    <w:tbl>
      <w:tblPr>
        <w:tblW w:w="9062" w:type="dxa"/>
        <w:tblInd w:w="688" w:type="dxa"/>
        <w:tblLook w:val="04A0" w:firstRow="1" w:lastRow="0" w:firstColumn="1" w:lastColumn="0" w:noHBand="0" w:noVBand="1"/>
      </w:tblPr>
      <w:tblGrid>
        <w:gridCol w:w="1260"/>
        <w:gridCol w:w="1260"/>
        <w:gridCol w:w="1260"/>
        <w:gridCol w:w="1260"/>
        <w:gridCol w:w="1471"/>
        <w:gridCol w:w="1049"/>
        <w:gridCol w:w="1502"/>
      </w:tblGrid>
      <w:tr w:rsidR="00A36588" w:rsidRPr="000E7424" w14:paraId="375CFFFD" w14:textId="77777777" w:rsidTr="00181181">
        <w:trPr>
          <w:trHeight w:val="690"/>
        </w:trPr>
        <w:tc>
          <w:tcPr>
            <w:tcW w:w="12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hideMark/>
          </w:tcPr>
          <w:p w14:paraId="17EA4B61" w14:textId="77777777" w:rsidR="00A36588" w:rsidRPr="000E7424" w:rsidRDefault="00A36588" w:rsidP="00181181">
            <w:pPr>
              <w:tabs>
                <w:tab w:val="left" w:pos="9552"/>
              </w:tabs>
              <w:rPr>
                <w:rFonts w:ascii="Arial" w:eastAsia="Times New Roman" w:hAnsi="Arial" w:cs="Arial"/>
                <w:b/>
                <w:bCs/>
                <w:color w:val="000000"/>
                <w:lang w:eastAsia="en-GB"/>
              </w:rPr>
            </w:pPr>
            <w:r w:rsidRPr="000E7424">
              <w:rPr>
                <w:rFonts w:ascii="Arial" w:eastAsia="Times New Roman" w:hAnsi="Arial" w:cs="Arial"/>
                <w:b/>
                <w:bCs/>
                <w:color w:val="000000"/>
                <w:lang w:eastAsia="en-GB"/>
              </w:rPr>
              <w:t>Gender</w:t>
            </w:r>
          </w:p>
        </w:tc>
        <w:tc>
          <w:tcPr>
            <w:tcW w:w="1260" w:type="dxa"/>
            <w:tcBorders>
              <w:top w:val="single" w:sz="8" w:space="0" w:color="auto"/>
              <w:left w:val="nil"/>
              <w:bottom w:val="single" w:sz="8" w:space="0" w:color="auto"/>
              <w:right w:val="single" w:sz="8" w:space="0" w:color="auto"/>
            </w:tcBorders>
            <w:shd w:val="clear" w:color="auto" w:fill="4F81BD" w:themeFill="accent1"/>
            <w:vAlign w:val="bottom"/>
            <w:hideMark/>
          </w:tcPr>
          <w:p w14:paraId="125A7559"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BME</w:t>
            </w:r>
          </w:p>
        </w:tc>
        <w:tc>
          <w:tcPr>
            <w:tcW w:w="1260" w:type="dxa"/>
            <w:tcBorders>
              <w:top w:val="single" w:sz="8" w:space="0" w:color="auto"/>
              <w:left w:val="nil"/>
              <w:bottom w:val="single" w:sz="8" w:space="0" w:color="auto"/>
              <w:right w:val="single" w:sz="8" w:space="0" w:color="auto"/>
            </w:tcBorders>
            <w:shd w:val="clear" w:color="auto" w:fill="4F81BD" w:themeFill="accent1"/>
            <w:vAlign w:val="bottom"/>
            <w:hideMark/>
          </w:tcPr>
          <w:p w14:paraId="33549825"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 BME</w:t>
            </w:r>
          </w:p>
        </w:tc>
        <w:tc>
          <w:tcPr>
            <w:tcW w:w="1260" w:type="dxa"/>
            <w:tcBorders>
              <w:top w:val="single" w:sz="8" w:space="0" w:color="auto"/>
              <w:left w:val="nil"/>
              <w:bottom w:val="single" w:sz="8" w:space="0" w:color="auto"/>
              <w:right w:val="single" w:sz="8" w:space="0" w:color="auto"/>
            </w:tcBorders>
            <w:shd w:val="clear" w:color="auto" w:fill="4F81BD" w:themeFill="accent1"/>
            <w:vAlign w:val="bottom"/>
            <w:hideMark/>
          </w:tcPr>
          <w:p w14:paraId="4F5DA1DA"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White</w:t>
            </w:r>
          </w:p>
        </w:tc>
        <w:tc>
          <w:tcPr>
            <w:tcW w:w="1471" w:type="dxa"/>
            <w:tcBorders>
              <w:top w:val="single" w:sz="8" w:space="0" w:color="auto"/>
              <w:left w:val="nil"/>
              <w:bottom w:val="single" w:sz="8" w:space="0" w:color="auto"/>
              <w:right w:val="single" w:sz="8" w:space="0" w:color="auto"/>
            </w:tcBorders>
            <w:shd w:val="clear" w:color="auto" w:fill="4F81BD" w:themeFill="accent1"/>
            <w:vAlign w:val="bottom"/>
            <w:hideMark/>
          </w:tcPr>
          <w:p w14:paraId="5616FCF0"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 White</w:t>
            </w:r>
          </w:p>
        </w:tc>
        <w:tc>
          <w:tcPr>
            <w:tcW w:w="1049" w:type="dxa"/>
            <w:tcBorders>
              <w:top w:val="single" w:sz="8" w:space="0" w:color="auto"/>
              <w:left w:val="nil"/>
              <w:bottom w:val="single" w:sz="8" w:space="0" w:color="auto"/>
              <w:right w:val="single" w:sz="8" w:space="0" w:color="auto"/>
            </w:tcBorders>
            <w:shd w:val="clear" w:color="auto" w:fill="4F81BD" w:themeFill="accent1"/>
            <w:vAlign w:val="bottom"/>
            <w:hideMark/>
          </w:tcPr>
          <w:p w14:paraId="4AF26DBC"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Not Stated</w:t>
            </w:r>
          </w:p>
        </w:tc>
        <w:tc>
          <w:tcPr>
            <w:tcW w:w="1502" w:type="dxa"/>
            <w:tcBorders>
              <w:top w:val="single" w:sz="8" w:space="0" w:color="auto"/>
              <w:left w:val="nil"/>
              <w:bottom w:val="single" w:sz="8" w:space="0" w:color="auto"/>
              <w:right w:val="single" w:sz="8" w:space="0" w:color="auto"/>
            </w:tcBorders>
            <w:shd w:val="clear" w:color="auto" w:fill="4F81BD" w:themeFill="accent1"/>
            <w:vAlign w:val="bottom"/>
            <w:hideMark/>
          </w:tcPr>
          <w:p w14:paraId="5168AA60"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 Not Stated</w:t>
            </w:r>
          </w:p>
        </w:tc>
      </w:tr>
      <w:tr w:rsidR="00A36588" w:rsidRPr="000E7424" w14:paraId="0B3BA028" w14:textId="77777777" w:rsidTr="00181181">
        <w:trPr>
          <w:trHeight w:val="38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5D561F5" w14:textId="77777777" w:rsidR="00A36588" w:rsidRPr="000E7424" w:rsidRDefault="00A36588" w:rsidP="00181181">
            <w:pPr>
              <w:tabs>
                <w:tab w:val="left" w:pos="9552"/>
              </w:tabs>
              <w:rPr>
                <w:rFonts w:ascii="Arial" w:eastAsia="Times New Roman" w:hAnsi="Arial" w:cs="Arial"/>
                <w:color w:val="000000"/>
                <w:lang w:eastAsia="en-GB"/>
              </w:rPr>
            </w:pPr>
            <w:r w:rsidRPr="000E7424">
              <w:rPr>
                <w:rFonts w:ascii="Arial" w:eastAsia="Times New Roman" w:hAnsi="Arial" w:cs="Arial"/>
                <w:color w:val="000000"/>
                <w:lang w:eastAsia="en-GB"/>
              </w:rPr>
              <w:t>Female</w:t>
            </w:r>
          </w:p>
        </w:tc>
        <w:tc>
          <w:tcPr>
            <w:tcW w:w="1260" w:type="dxa"/>
            <w:tcBorders>
              <w:top w:val="nil"/>
              <w:left w:val="nil"/>
              <w:bottom w:val="single" w:sz="8" w:space="0" w:color="auto"/>
              <w:right w:val="single" w:sz="8" w:space="0" w:color="auto"/>
            </w:tcBorders>
            <w:shd w:val="clear" w:color="auto" w:fill="auto"/>
            <w:noWrap/>
            <w:vAlign w:val="bottom"/>
            <w:hideMark/>
          </w:tcPr>
          <w:p w14:paraId="661BADB2"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13</w:t>
            </w:r>
          </w:p>
        </w:tc>
        <w:tc>
          <w:tcPr>
            <w:tcW w:w="1260" w:type="dxa"/>
            <w:tcBorders>
              <w:top w:val="nil"/>
              <w:left w:val="nil"/>
              <w:bottom w:val="single" w:sz="8" w:space="0" w:color="auto"/>
              <w:right w:val="single" w:sz="8" w:space="0" w:color="auto"/>
            </w:tcBorders>
            <w:shd w:val="clear" w:color="auto" w:fill="auto"/>
            <w:noWrap/>
            <w:vAlign w:val="bottom"/>
            <w:hideMark/>
          </w:tcPr>
          <w:p w14:paraId="4EE3809F"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56.52%</w:t>
            </w:r>
          </w:p>
        </w:tc>
        <w:tc>
          <w:tcPr>
            <w:tcW w:w="1260" w:type="dxa"/>
            <w:tcBorders>
              <w:top w:val="nil"/>
              <w:left w:val="nil"/>
              <w:bottom w:val="single" w:sz="8" w:space="0" w:color="auto"/>
              <w:right w:val="single" w:sz="8" w:space="0" w:color="auto"/>
            </w:tcBorders>
            <w:shd w:val="clear" w:color="auto" w:fill="auto"/>
            <w:noWrap/>
            <w:vAlign w:val="bottom"/>
            <w:hideMark/>
          </w:tcPr>
          <w:p w14:paraId="08CA3060"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10</w:t>
            </w:r>
          </w:p>
        </w:tc>
        <w:tc>
          <w:tcPr>
            <w:tcW w:w="1471" w:type="dxa"/>
            <w:tcBorders>
              <w:top w:val="nil"/>
              <w:left w:val="nil"/>
              <w:bottom w:val="single" w:sz="8" w:space="0" w:color="auto"/>
              <w:right w:val="single" w:sz="8" w:space="0" w:color="auto"/>
            </w:tcBorders>
            <w:shd w:val="clear" w:color="auto" w:fill="auto"/>
            <w:noWrap/>
            <w:vAlign w:val="bottom"/>
            <w:hideMark/>
          </w:tcPr>
          <w:p w14:paraId="4FAE99D5"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43.48%</w:t>
            </w:r>
          </w:p>
        </w:tc>
        <w:tc>
          <w:tcPr>
            <w:tcW w:w="1049" w:type="dxa"/>
            <w:tcBorders>
              <w:top w:val="nil"/>
              <w:left w:val="nil"/>
              <w:bottom w:val="single" w:sz="8" w:space="0" w:color="auto"/>
              <w:right w:val="single" w:sz="8" w:space="0" w:color="auto"/>
            </w:tcBorders>
            <w:shd w:val="clear" w:color="auto" w:fill="auto"/>
            <w:noWrap/>
            <w:vAlign w:val="bottom"/>
            <w:hideMark/>
          </w:tcPr>
          <w:p w14:paraId="78505ABD"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 xml:space="preserve"> 0 </w:t>
            </w:r>
          </w:p>
        </w:tc>
        <w:tc>
          <w:tcPr>
            <w:tcW w:w="1502" w:type="dxa"/>
            <w:tcBorders>
              <w:top w:val="nil"/>
              <w:left w:val="nil"/>
              <w:bottom w:val="single" w:sz="8" w:space="0" w:color="auto"/>
              <w:right w:val="single" w:sz="8" w:space="0" w:color="auto"/>
            </w:tcBorders>
            <w:shd w:val="clear" w:color="auto" w:fill="auto"/>
            <w:noWrap/>
            <w:vAlign w:val="bottom"/>
            <w:hideMark/>
          </w:tcPr>
          <w:p w14:paraId="3DB6071C"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0.00%</w:t>
            </w:r>
          </w:p>
        </w:tc>
      </w:tr>
      <w:tr w:rsidR="00A36588" w:rsidRPr="000E7424" w14:paraId="4C845741" w14:textId="77777777" w:rsidTr="00181181">
        <w:trPr>
          <w:trHeight w:val="38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97BCFFD" w14:textId="77777777" w:rsidR="00A36588" w:rsidRPr="000E7424" w:rsidRDefault="00A36588" w:rsidP="00181181">
            <w:pPr>
              <w:tabs>
                <w:tab w:val="left" w:pos="9552"/>
              </w:tabs>
              <w:rPr>
                <w:rFonts w:ascii="Arial" w:eastAsia="Times New Roman" w:hAnsi="Arial" w:cs="Arial"/>
                <w:color w:val="000000"/>
                <w:lang w:eastAsia="en-GB"/>
              </w:rPr>
            </w:pPr>
            <w:r w:rsidRPr="000E7424">
              <w:rPr>
                <w:rFonts w:ascii="Arial" w:eastAsia="Times New Roman" w:hAnsi="Arial" w:cs="Arial"/>
                <w:color w:val="000000"/>
                <w:lang w:eastAsia="en-GB"/>
              </w:rPr>
              <w:t>Male</w:t>
            </w:r>
          </w:p>
        </w:tc>
        <w:tc>
          <w:tcPr>
            <w:tcW w:w="1260" w:type="dxa"/>
            <w:tcBorders>
              <w:top w:val="nil"/>
              <w:left w:val="nil"/>
              <w:bottom w:val="single" w:sz="8" w:space="0" w:color="auto"/>
              <w:right w:val="single" w:sz="8" w:space="0" w:color="auto"/>
            </w:tcBorders>
            <w:shd w:val="clear" w:color="auto" w:fill="auto"/>
            <w:noWrap/>
            <w:vAlign w:val="bottom"/>
            <w:hideMark/>
          </w:tcPr>
          <w:p w14:paraId="6DE6CBE3"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27</w:t>
            </w:r>
          </w:p>
        </w:tc>
        <w:tc>
          <w:tcPr>
            <w:tcW w:w="1260" w:type="dxa"/>
            <w:tcBorders>
              <w:top w:val="nil"/>
              <w:left w:val="nil"/>
              <w:bottom w:val="single" w:sz="8" w:space="0" w:color="auto"/>
              <w:right w:val="single" w:sz="8" w:space="0" w:color="auto"/>
            </w:tcBorders>
            <w:shd w:val="clear" w:color="auto" w:fill="auto"/>
            <w:noWrap/>
            <w:vAlign w:val="bottom"/>
            <w:hideMark/>
          </w:tcPr>
          <w:p w14:paraId="4A28BF65"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69.23%</w:t>
            </w:r>
          </w:p>
        </w:tc>
        <w:tc>
          <w:tcPr>
            <w:tcW w:w="1260" w:type="dxa"/>
            <w:tcBorders>
              <w:top w:val="nil"/>
              <w:left w:val="nil"/>
              <w:bottom w:val="single" w:sz="8" w:space="0" w:color="auto"/>
              <w:right w:val="single" w:sz="8" w:space="0" w:color="auto"/>
            </w:tcBorders>
            <w:shd w:val="clear" w:color="auto" w:fill="auto"/>
            <w:noWrap/>
            <w:vAlign w:val="bottom"/>
            <w:hideMark/>
          </w:tcPr>
          <w:p w14:paraId="18437051"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11</w:t>
            </w:r>
          </w:p>
        </w:tc>
        <w:tc>
          <w:tcPr>
            <w:tcW w:w="1471" w:type="dxa"/>
            <w:tcBorders>
              <w:top w:val="nil"/>
              <w:left w:val="nil"/>
              <w:bottom w:val="single" w:sz="8" w:space="0" w:color="auto"/>
              <w:right w:val="single" w:sz="8" w:space="0" w:color="auto"/>
            </w:tcBorders>
            <w:shd w:val="clear" w:color="auto" w:fill="auto"/>
            <w:noWrap/>
            <w:vAlign w:val="bottom"/>
            <w:hideMark/>
          </w:tcPr>
          <w:p w14:paraId="6E38991B"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28.21%</w:t>
            </w:r>
          </w:p>
        </w:tc>
        <w:tc>
          <w:tcPr>
            <w:tcW w:w="1049" w:type="dxa"/>
            <w:tcBorders>
              <w:top w:val="nil"/>
              <w:left w:val="nil"/>
              <w:bottom w:val="single" w:sz="8" w:space="0" w:color="auto"/>
              <w:right w:val="single" w:sz="8" w:space="0" w:color="auto"/>
            </w:tcBorders>
            <w:shd w:val="clear" w:color="auto" w:fill="auto"/>
            <w:noWrap/>
            <w:vAlign w:val="bottom"/>
            <w:hideMark/>
          </w:tcPr>
          <w:p w14:paraId="0C569E2B"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1</w:t>
            </w:r>
          </w:p>
        </w:tc>
        <w:tc>
          <w:tcPr>
            <w:tcW w:w="1502" w:type="dxa"/>
            <w:tcBorders>
              <w:top w:val="nil"/>
              <w:left w:val="nil"/>
              <w:bottom w:val="single" w:sz="8" w:space="0" w:color="auto"/>
              <w:right w:val="single" w:sz="8" w:space="0" w:color="auto"/>
            </w:tcBorders>
            <w:shd w:val="clear" w:color="auto" w:fill="auto"/>
            <w:noWrap/>
            <w:vAlign w:val="bottom"/>
            <w:hideMark/>
          </w:tcPr>
          <w:p w14:paraId="71FE86C0" w14:textId="77777777" w:rsidR="00A36588" w:rsidRPr="000E7424" w:rsidRDefault="00A36588" w:rsidP="00181181">
            <w:pPr>
              <w:tabs>
                <w:tab w:val="left" w:pos="9552"/>
              </w:tabs>
              <w:jc w:val="center"/>
              <w:rPr>
                <w:rFonts w:ascii="Arial" w:eastAsia="Times New Roman" w:hAnsi="Arial" w:cs="Arial"/>
                <w:color w:val="000000"/>
                <w:lang w:eastAsia="en-GB"/>
              </w:rPr>
            </w:pPr>
            <w:r w:rsidRPr="000E7424">
              <w:rPr>
                <w:rFonts w:ascii="Arial" w:eastAsia="Times New Roman" w:hAnsi="Arial" w:cs="Arial"/>
                <w:color w:val="000000"/>
                <w:lang w:eastAsia="en-GB"/>
              </w:rPr>
              <w:t>2.56%</w:t>
            </w:r>
          </w:p>
        </w:tc>
      </w:tr>
      <w:tr w:rsidR="00A36588" w:rsidRPr="000E7424" w14:paraId="3EA97B8D" w14:textId="77777777" w:rsidTr="00181181">
        <w:trPr>
          <w:trHeight w:val="38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C143AD9" w14:textId="77777777" w:rsidR="00A36588" w:rsidRPr="000E7424" w:rsidRDefault="00A36588" w:rsidP="00181181">
            <w:pPr>
              <w:tabs>
                <w:tab w:val="left" w:pos="9552"/>
              </w:tabs>
              <w:rPr>
                <w:rFonts w:ascii="Arial" w:eastAsia="Times New Roman" w:hAnsi="Arial" w:cs="Arial"/>
                <w:b/>
                <w:bCs/>
                <w:color w:val="000000"/>
                <w:lang w:eastAsia="en-GB"/>
              </w:rPr>
            </w:pPr>
            <w:r w:rsidRPr="000E7424">
              <w:rPr>
                <w:rFonts w:ascii="Arial" w:eastAsia="Times New Roman" w:hAnsi="Arial" w:cs="Arial"/>
                <w:b/>
                <w:bCs/>
                <w:color w:val="000000"/>
                <w:lang w:eastAsia="en-GB"/>
              </w:rPr>
              <w:t>TOTAL</w:t>
            </w:r>
          </w:p>
        </w:tc>
        <w:tc>
          <w:tcPr>
            <w:tcW w:w="1260" w:type="dxa"/>
            <w:tcBorders>
              <w:top w:val="nil"/>
              <w:left w:val="nil"/>
              <w:bottom w:val="single" w:sz="8" w:space="0" w:color="auto"/>
              <w:right w:val="single" w:sz="8" w:space="0" w:color="auto"/>
            </w:tcBorders>
            <w:shd w:val="clear" w:color="auto" w:fill="auto"/>
            <w:noWrap/>
            <w:vAlign w:val="bottom"/>
            <w:hideMark/>
          </w:tcPr>
          <w:p w14:paraId="7F224F53"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40</w:t>
            </w:r>
          </w:p>
        </w:tc>
        <w:tc>
          <w:tcPr>
            <w:tcW w:w="1260" w:type="dxa"/>
            <w:tcBorders>
              <w:top w:val="nil"/>
              <w:left w:val="nil"/>
              <w:bottom w:val="single" w:sz="8" w:space="0" w:color="auto"/>
              <w:right w:val="single" w:sz="8" w:space="0" w:color="auto"/>
            </w:tcBorders>
            <w:shd w:val="clear" w:color="auto" w:fill="auto"/>
            <w:noWrap/>
            <w:vAlign w:val="bottom"/>
            <w:hideMark/>
          </w:tcPr>
          <w:p w14:paraId="624A21B4"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64.52%</w:t>
            </w:r>
          </w:p>
        </w:tc>
        <w:tc>
          <w:tcPr>
            <w:tcW w:w="1260" w:type="dxa"/>
            <w:tcBorders>
              <w:top w:val="nil"/>
              <w:left w:val="nil"/>
              <w:bottom w:val="single" w:sz="8" w:space="0" w:color="auto"/>
              <w:right w:val="single" w:sz="8" w:space="0" w:color="auto"/>
            </w:tcBorders>
            <w:shd w:val="clear" w:color="auto" w:fill="auto"/>
            <w:noWrap/>
            <w:vAlign w:val="bottom"/>
            <w:hideMark/>
          </w:tcPr>
          <w:p w14:paraId="50FBEEA6"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21</w:t>
            </w:r>
          </w:p>
        </w:tc>
        <w:tc>
          <w:tcPr>
            <w:tcW w:w="1471" w:type="dxa"/>
            <w:tcBorders>
              <w:top w:val="nil"/>
              <w:left w:val="nil"/>
              <w:bottom w:val="single" w:sz="8" w:space="0" w:color="auto"/>
              <w:right w:val="single" w:sz="8" w:space="0" w:color="auto"/>
            </w:tcBorders>
            <w:shd w:val="clear" w:color="auto" w:fill="auto"/>
            <w:noWrap/>
            <w:vAlign w:val="bottom"/>
            <w:hideMark/>
          </w:tcPr>
          <w:p w14:paraId="6BFF4499"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33.87%</w:t>
            </w:r>
          </w:p>
        </w:tc>
        <w:tc>
          <w:tcPr>
            <w:tcW w:w="1049" w:type="dxa"/>
            <w:tcBorders>
              <w:top w:val="nil"/>
              <w:left w:val="nil"/>
              <w:bottom w:val="single" w:sz="8" w:space="0" w:color="auto"/>
              <w:right w:val="single" w:sz="8" w:space="0" w:color="auto"/>
            </w:tcBorders>
            <w:shd w:val="clear" w:color="auto" w:fill="auto"/>
            <w:noWrap/>
            <w:vAlign w:val="bottom"/>
            <w:hideMark/>
          </w:tcPr>
          <w:p w14:paraId="3AF789CF"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1</w:t>
            </w:r>
          </w:p>
        </w:tc>
        <w:tc>
          <w:tcPr>
            <w:tcW w:w="1502" w:type="dxa"/>
            <w:tcBorders>
              <w:top w:val="nil"/>
              <w:left w:val="nil"/>
              <w:bottom w:val="single" w:sz="8" w:space="0" w:color="auto"/>
              <w:right w:val="single" w:sz="8" w:space="0" w:color="auto"/>
            </w:tcBorders>
            <w:shd w:val="clear" w:color="auto" w:fill="auto"/>
            <w:noWrap/>
            <w:vAlign w:val="bottom"/>
            <w:hideMark/>
          </w:tcPr>
          <w:p w14:paraId="456E9727" w14:textId="77777777" w:rsidR="00A36588" w:rsidRPr="000E7424" w:rsidRDefault="00A36588" w:rsidP="00181181">
            <w:pPr>
              <w:tabs>
                <w:tab w:val="left" w:pos="9552"/>
              </w:tabs>
              <w:jc w:val="center"/>
              <w:rPr>
                <w:rFonts w:ascii="Arial" w:eastAsia="Times New Roman" w:hAnsi="Arial" w:cs="Arial"/>
                <w:b/>
                <w:bCs/>
                <w:color w:val="000000"/>
                <w:lang w:eastAsia="en-GB"/>
              </w:rPr>
            </w:pPr>
            <w:r w:rsidRPr="000E7424">
              <w:rPr>
                <w:rFonts w:ascii="Arial" w:eastAsia="Times New Roman" w:hAnsi="Arial" w:cs="Arial"/>
                <w:b/>
                <w:bCs/>
                <w:color w:val="000000"/>
                <w:lang w:eastAsia="en-GB"/>
              </w:rPr>
              <w:t>1.61%</w:t>
            </w:r>
          </w:p>
        </w:tc>
      </w:tr>
    </w:tbl>
    <w:p w14:paraId="06F59589" w14:textId="77777777" w:rsidR="00A36588" w:rsidRPr="000E7424" w:rsidRDefault="00A36588" w:rsidP="00A36588">
      <w:pPr>
        <w:tabs>
          <w:tab w:val="left" w:pos="9552"/>
        </w:tabs>
        <w:spacing w:after="160" w:line="259" w:lineRule="auto"/>
        <w:rPr>
          <w:rFonts w:ascii="Arial" w:hAnsi="Arial" w:cs="Arial"/>
          <w:b/>
          <w:color w:val="005EB8"/>
          <w:sz w:val="28"/>
          <w:szCs w:val="28"/>
        </w:rPr>
      </w:pPr>
    </w:p>
    <w:p w14:paraId="16765CEC" w14:textId="77777777" w:rsidR="00A36588" w:rsidRPr="00442E82" w:rsidRDefault="00A36588" w:rsidP="00A36588">
      <w:pPr>
        <w:tabs>
          <w:tab w:val="left" w:pos="9552"/>
        </w:tabs>
        <w:spacing w:after="160" w:line="259" w:lineRule="auto"/>
        <w:rPr>
          <w:rFonts w:ascii="Arial" w:hAnsi="Arial" w:cs="Arial"/>
          <w:u w:val="single"/>
        </w:rPr>
      </w:pPr>
      <w:r w:rsidRPr="000E7424">
        <w:rPr>
          <w:rFonts w:ascii="Arial" w:hAnsi="Arial" w:cs="Arial"/>
          <w:b/>
          <w:color w:val="005EB8"/>
          <w:sz w:val="28"/>
          <w:szCs w:val="28"/>
        </w:rPr>
        <w:t>The national picture</w:t>
      </w:r>
    </w:p>
    <w:p w14:paraId="55D78D65" w14:textId="77777777" w:rsidR="00A36588" w:rsidRPr="000E7424" w:rsidRDefault="00A36588" w:rsidP="00A36588">
      <w:pPr>
        <w:tabs>
          <w:tab w:val="left" w:pos="9552"/>
        </w:tabs>
        <w:rPr>
          <w:rFonts w:ascii="Arial" w:hAnsi="Arial" w:cs="Arial"/>
          <w:i/>
        </w:rPr>
      </w:pPr>
      <w:r w:rsidRPr="000E7424">
        <w:rPr>
          <w:rFonts w:ascii="Arial" w:hAnsi="Arial" w:cs="Arial"/>
          <w:i/>
        </w:rPr>
        <w:t>Note: due to reporting timeframes the national picture data is based on the previous reporting year 2022-2023</w:t>
      </w:r>
      <w:r>
        <w:rPr>
          <w:rFonts w:ascii="Arial" w:hAnsi="Arial" w:cs="Arial"/>
          <w:i/>
        </w:rPr>
        <w:t>.</w:t>
      </w:r>
    </w:p>
    <w:p w14:paraId="4958365B" w14:textId="77777777" w:rsidR="00A36588" w:rsidRPr="000E7424" w:rsidRDefault="00A36588" w:rsidP="00A36588">
      <w:pPr>
        <w:tabs>
          <w:tab w:val="left" w:pos="9552"/>
        </w:tabs>
        <w:rPr>
          <w:rFonts w:ascii="Arial" w:hAnsi="Arial" w:cs="Arial"/>
        </w:rPr>
      </w:pPr>
      <w:hyperlink r:id="rId18" w:anchor="main-points" w:history="1">
        <w:r w:rsidRPr="000E7424">
          <w:rPr>
            <w:rStyle w:val="Hyperlink"/>
            <w:rFonts w:ascii="Arial" w:hAnsi="Arial" w:cs="Arial"/>
          </w:rPr>
          <w:t>The gender pay gap for workers is in favour of men for the majority of occupations</w:t>
        </w:r>
      </w:hyperlink>
      <w:r w:rsidRPr="000E7424">
        <w:rPr>
          <w:rFonts w:ascii="Arial" w:hAnsi="Arial" w:cs="Arial"/>
        </w:rPr>
        <w:t>; however, occupational crowding has an effect since those occupations with the smallest gender pay gap have almost equal employmen</w:t>
      </w:r>
      <w:r>
        <w:rPr>
          <w:rFonts w:ascii="Arial" w:hAnsi="Arial" w:cs="Arial"/>
        </w:rPr>
        <w:t>t shares between men and women.</w:t>
      </w:r>
    </w:p>
    <w:p w14:paraId="582A12A8" w14:textId="77777777" w:rsidR="00A36588" w:rsidRPr="000E7424" w:rsidRDefault="00A36588" w:rsidP="00A36588">
      <w:pPr>
        <w:tabs>
          <w:tab w:val="left" w:pos="9552"/>
        </w:tabs>
        <w:rPr>
          <w:rFonts w:ascii="Arial" w:hAnsi="Arial" w:cs="Arial"/>
        </w:rPr>
      </w:pPr>
      <w:r w:rsidRPr="000E7424">
        <w:rPr>
          <w:rFonts w:ascii="Arial" w:hAnsi="Arial" w:cs="Arial"/>
        </w:rPr>
        <w:t>It is also important to note that men and women have different personal and job characteristics, which ultimate</w:t>
      </w:r>
      <w:r>
        <w:rPr>
          <w:rFonts w:ascii="Arial" w:hAnsi="Arial" w:cs="Arial"/>
        </w:rPr>
        <w:t>ly impact their respective pay.</w:t>
      </w:r>
    </w:p>
    <w:p w14:paraId="611A8973" w14:textId="77777777" w:rsidR="00A36588" w:rsidRPr="000E7424" w:rsidRDefault="00A36588" w:rsidP="00A36588">
      <w:pPr>
        <w:tabs>
          <w:tab w:val="left" w:pos="9552"/>
        </w:tabs>
        <w:rPr>
          <w:rFonts w:ascii="Arial" w:hAnsi="Arial" w:cs="Arial"/>
        </w:rPr>
      </w:pPr>
      <w:r w:rsidRPr="000E7424">
        <w:rPr>
          <w:rFonts w:ascii="Arial" w:hAnsi="Arial" w:cs="Arial"/>
        </w:rPr>
        <w:t>Across the UK, men earned on average 14.3% more than women in 2023, according to the Office of National Statistics, meaning that EPUT’s gender pay gap is below the national average.</w:t>
      </w:r>
    </w:p>
    <w:p w14:paraId="5217F97C" w14:textId="77777777" w:rsidR="00A36588" w:rsidRPr="000E7424" w:rsidRDefault="00A36588" w:rsidP="00A36588">
      <w:pPr>
        <w:tabs>
          <w:tab w:val="left" w:pos="9552"/>
        </w:tabs>
        <w:rPr>
          <w:rFonts w:ascii="Arial" w:hAnsi="Arial" w:cs="Arial"/>
        </w:rPr>
      </w:pPr>
      <w:r w:rsidRPr="000E7424">
        <w:rPr>
          <w:rFonts w:ascii="Arial" w:hAnsi="Arial" w:cs="Arial"/>
        </w:rPr>
        <w:t>Below is a comparison table of how EPUT’s gender pay gap sits in comparison to local neighbouring NHS organisatio</w:t>
      </w:r>
      <w:r>
        <w:rPr>
          <w:rFonts w:ascii="Arial" w:hAnsi="Arial" w:cs="Arial"/>
        </w:rPr>
        <w:t>ns on the gov.uk website.</w:t>
      </w:r>
    </w:p>
    <w:p w14:paraId="7CCAFBC9" w14:textId="77777777" w:rsidR="00A36588" w:rsidRPr="000E7424" w:rsidRDefault="00A36588" w:rsidP="00A36588">
      <w:pPr>
        <w:tabs>
          <w:tab w:val="left" w:pos="9552"/>
        </w:tabs>
        <w:rPr>
          <w:rFonts w:ascii="Arial" w:hAnsi="Arial" w:cs="Arial"/>
        </w:rPr>
      </w:pPr>
    </w:p>
    <w:tbl>
      <w:tblPr>
        <w:tblW w:w="8364" w:type="dxa"/>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2"/>
        <w:gridCol w:w="2410"/>
        <w:gridCol w:w="2552"/>
      </w:tblGrid>
      <w:tr w:rsidR="00A36588" w:rsidRPr="00AA3DE9" w14:paraId="0A3B78A0" w14:textId="77777777" w:rsidTr="00181181">
        <w:trPr>
          <w:trHeight w:val="572"/>
        </w:trPr>
        <w:tc>
          <w:tcPr>
            <w:tcW w:w="3402" w:type="dxa"/>
            <w:shd w:val="clear" w:color="auto" w:fill="8DB4E1"/>
          </w:tcPr>
          <w:p w14:paraId="122A43E3" w14:textId="77777777" w:rsidR="00A36588" w:rsidRPr="00AA3DE9" w:rsidRDefault="00A36588" w:rsidP="00181181">
            <w:pPr>
              <w:tabs>
                <w:tab w:val="left" w:pos="9552"/>
              </w:tabs>
              <w:rPr>
                <w:rFonts w:ascii="Arial" w:hAnsi="Arial" w:cs="Arial"/>
                <w:b/>
              </w:rPr>
            </w:pPr>
            <w:r w:rsidRPr="00AA3DE9">
              <w:rPr>
                <w:rFonts w:ascii="Arial" w:hAnsi="Arial" w:cs="Arial"/>
                <w:b/>
              </w:rPr>
              <w:t>Organisation</w:t>
            </w:r>
          </w:p>
        </w:tc>
        <w:tc>
          <w:tcPr>
            <w:tcW w:w="2410" w:type="dxa"/>
            <w:shd w:val="clear" w:color="auto" w:fill="8DB4E1"/>
          </w:tcPr>
          <w:p w14:paraId="7A7B044C" w14:textId="77777777" w:rsidR="00A36588" w:rsidRPr="00AA3DE9" w:rsidRDefault="00A36588" w:rsidP="00181181">
            <w:pPr>
              <w:tabs>
                <w:tab w:val="left" w:pos="9552"/>
              </w:tabs>
              <w:rPr>
                <w:rFonts w:ascii="Arial" w:hAnsi="Arial" w:cs="Arial"/>
                <w:b/>
              </w:rPr>
            </w:pPr>
            <w:r w:rsidRPr="00AA3DE9">
              <w:rPr>
                <w:rFonts w:ascii="Arial" w:hAnsi="Arial" w:cs="Arial"/>
                <w:b/>
              </w:rPr>
              <w:t>Mean hourly rate 2022/23</w:t>
            </w:r>
          </w:p>
        </w:tc>
        <w:tc>
          <w:tcPr>
            <w:tcW w:w="2552" w:type="dxa"/>
            <w:shd w:val="clear" w:color="auto" w:fill="8DB4E1"/>
          </w:tcPr>
          <w:p w14:paraId="5C60D796" w14:textId="77777777" w:rsidR="00A36588" w:rsidRPr="00AA3DE9" w:rsidRDefault="00A36588" w:rsidP="00181181">
            <w:pPr>
              <w:tabs>
                <w:tab w:val="left" w:pos="9552"/>
              </w:tabs>
              <w:rPr>
                <w:rFonts w:ascii="Arial" w:hAnsi="Arial" w:cs="Arial"/>
                <w:b/>
              </w:rPr>
            </w:pPr>
            <w:r w:rsidRPr="00AA3DE9">
              <w:rPr>
                <w:rFonts w:ascii="Arial" w:hAnsi="Arial" w:cs="Arial"/>
                <w:b/>
              </w:rPr>
              <w:t>Median hourly rate 2022/23</w:t>
            </w:r>
          </w:p>
        </w:tc>
      </w:tr>
      <w:tr w:rsidR="00A36588" w:rsidRPr="00AA3DE9" w14:paraId="27ADB7DA" w14:textId="77777777" w:rsidTr="00181181">
        <w:trPr>
          <w:trHeight w:val="572"/>
        </w:trPr>
        <w:tc>
          <w:tcPr>
            <w:tcW w:w="3402" w:type="dxa"/>
          </w:tcPr>
          <w:p w14:paraId="268F5184" w14:textId="77777777" w:rsidR="00A36588" w:rsidRPr="00AA3DE9" w:rsidRDefault="00A36588" w:rsidP="00181181">
            <w:pPr>
              <w:tabs>
                <w:tab w:val="left" w:pos="9552"/>
              </w:tabs>
              <w:rPr>
                <w:rFonts w:ascii="Arial" w:hAnsi="Arial" w:cs="Arial"/>
                <w:color w:val="00B050"/>
              </w:rPr>
            </w:pPr>
            <w:r w:rsidRPr="00AA3DE9">
              <w:rPr>
                <w:rFonts w:ascii="Arial" w:hAnsi="Arial" w:cs="Arial"/>
              </w:rPr>
              <w:t>Hertfordshire Partnership University NHS Foundation Trust (HPFT)</w:t>
            </w:r>
          </w:p>
        </w:tc>
        <w:tc>
          <w:tcPr>
            <w:tcW w:w="2410" w:type="dxa"/>
          </w:tcPr>
          <w:p w14:paraId="6337020D" w14:textId="77777777" w:rsidR="00A36588" w:rsidRPr="00AA3DE9" w:rsidRDefault="00A36588" w:rsidP="00181181">
            <w:pPr>
              <w:tabs>
                <w:tab w:val="left" w:pos="9552"/>
              </w:tabs>
              <w:rPr>
                <w:rFonts w:ascii="Arial" w:hAnsi="Arial" w:cs="Arial"/>
                <w:color w:val="00B050"/>
              </w:rPr>
            </w:pPr>
            <w:r w:rsidRPr="00AA3DE9">
              <w:rPr>
                <w:rFonts w:ascii="Arial" w:hAnsi="Arial" w:cs="Arial"/>
              </w:rPr>
              <w:t>8.9% lower than men’s</w:t>
            </w:r>
          </w:p>
        </w:tc>
        <w:tc>
          <w:tcPr>
            <w:tcW w:w="2552" w:type="dxa"/>
          </w:tcPr>
          <w:p w14:paraId="5056A967" w14:textId="77777777" w:rsidR="00A36588" w:rsidRPr="00AA3DE9" w:rsidRDefault="00A36588" w:rsidP="00181181">
            <w:pPr>
              <w:tabs>
                <w:tab w:val="left" w:pos="9552"/>
              </w:tabs>
              <w:rPr>
                <w:rFonts w:ascii="Arial" w:hAnsi="Arial" w:cs="Arial"/>
                <w:color w:val="00B050"/>
              </w:rPr>
            </w:pPr>
            <w:r w:rsidRPr="00AA3DE9">
              <w:rPr>
                <w:rFonts w:ascii="Arial" w:hAnsi="Arial" w:cs="Arial"/>
              </w:rPr>
              <w:t>-0.3% lower than men’s</w:t>
            </w:r>
          </w:p>
        </w:tc>
      </w:tr>
      <w:tr w:rsidR="00A36588" w:rsidRPr="00AA3DE9" w14:paraId="4FE7CFD0" w14:textId="77777777" w:rsidTr="00181181">
        <w:trPr>
          <w:trHeight w:val="572"/>
        </w:trPr>
        <w:tc>
          <w:tcPr>
            <w:tcW w:w="3402" w:type="dxa"/>
          </w:tcPr>
          <w:p w14:paraId="4E72DB18" w14:textId="77777777" w:rsidR="00A36588" w:rsidRPr="00AA3DE9" w:rsidRDefault="00A36588" w:rsidP="00181181">
            <w:pPr>
              <w:tabs>
                <w:tab w:val="left" w:pos="9552"/>
              </w:tabs>
              <w:rPr>
                <w:rFonts w:ascii="Arial" w:hAnsi="Arial" w:cs="Arial"/>
                <w:color w:val="00B050"/>
              </w:rPr>
            </w:pPr>
            <w:r w:rsidRPr="00AA3DE9">
              <w:rPr>
                <w:rFonts w:ascii="Arial" w:hAnsi="Arial" w:cs="Arial"/>
              </w:rPr>
              <w:t>East London NHS Foundation Trust (ELFT)</w:t>
            </w:r>
          </w:p>
        </w:tc>
        <w:tc>
          <w:tcPr>
            <w:tcW w:w="2410" w:type="dxa"/>
          </w:tcPr>
          <w:p w14:paraId="274C0AB3" w14:textId="77777777" w:rsidR="00A36588" w:rsidRPr="00AA3DE9" w:rsidRDefault="00A36588" w:rsidP="00181181">
            <w:pPr>
              <w:tabs>
                <w:tab w:val="left" w:pos="9552"/>
              </w:tabs>
              <w:rPr>
                <w:rFonts w:ascii="Arial" w:hAnsi="Arial" w:cs="Arial"/>
                <w:color w:val="00B050"/>
              </w:rPr>
            </w:pPr>
            <w:r w:rsidRPr="00AA3DE9">
              <w:rPr>
                <w:rFonts w:ascii="Arial" w:hAnsi="Arial" w:cs="Arial"/>
              </w:rPr>
              <w:t>11% lower than men’s</w:t>
            </w:r>
          </w:p>
        </w:tc>
        <w:tc>
          <w:tcPr>
            <w:tcW w:w="2552" w:type="dxa"/>
          </w:tcPr>
          <w:p w14:paraId="2B434CD8" w14:textId="77777777" w:rsidR="00A36588" w:rsidRPr="00AA3DE9" w:rsidRDefault="00A36588" w:rsidP="00181181">
            <w:pPr>
              <w:tabs>
                <w:tab w:val="left" w:pos="9552"/>
              </w:tabs>
              <w:rPr>
                <w:rFonts w:ascii="Arial" w:hAnsi="Arial" w:cs="Arial"/>
                <w:color w:val="00B050"/>
              </w:rPr>
            </w:pPr>
            <w:r w:rsidRPr="00AA3DE9">
              <w:rPr>
                <w:rFonts w:ascii="Arial" w:hAnsi="Arial" w:cs="Arial"/>
              </w:rPr>
              <w:t>4.2% lower than men’s</w:t>
            </w:r>
          </w:p>
        </w:tc>
      </w:tr>
      <w:tr w:rsidR="00A36588" w:rsidRPr="00AA3DE9" w14:paraId="2EB1F20E" w14:textId="77777777" w:rsidTr="00181181">
        <w:trPr>
          <w:trHeight w:val="572"/>
        </w:trPr>
        <w:tc>
          <w:tcPr>
            <w:tcW w:w="3402" w:type="dxa"/>
          </w:tcPr>
          <w:p w14:paraId="0B1C3422" w14:textId="77777777" w:rsidR="00A36588" w:rsidRPr="00AA3DE9" w:rsidRDefault="00A36588" w:rsidP="00181181">
            <w:pPr>
              <w:tabs>
                <w:tab w:val="left" w:pos="9552"/>
              </w:tabs>
              <w:rPr>
                <w:rFonts w:ascii="Arial" w:hAnsi="Arial" w:cs="Arial"/>
                <w:color w:val="00B050"/>
              </w:rPr>
            </w:pPr>
            <w:r w:rsidRPr="00AA3DE9">
              <w:rPr>
                <w:rFonts w:ascii="Arial" w:hAnsi="Arial" w:cs="Arial"/>
                <w:color w:val="00B050"/>
              </w:rPr>
              <w:t>EPUT</w:t>
            </w:r>
          </w:p>
        </w:tc>
        <w:tc>
          <w:tcPr>
            <w:tcW w:w="2410" w:type="dxa"/>
          </w:tcPr>
          <w:p w14:paraId="5408C076" w14:textId="77777777" w:rsidR="00A36588" w:rsidRPr="00AA3DE9" w:rsidRDefault="00A36588" w:rsidP="00181181">
            <w:pPr>
              <w:tabs>
                <w:tab w:val="left" w:pos="9552"/>
              </w:tabs>
              <w:rPr>
                <w:rFonts w:ascii="Arial" w:hAnsi="Arial" w:cs="Arial"/>
                <w:color w:val="00B050"/>
              </w:rPr>
            </w:pPr>
            <w:r w:rsidRPr="00AA3DE9">
              <w:rPr>
                <w:rFonts w:ascii="Arial" w:hAnsi="Arial" w:cs="Arial"/>
                <w:color w:val="00B050"/>
              </w:rPr>
              <w:t>13.1% lower than men’s</w:t>
            </w:r>
          </w:p>
        </w:tc>
        <w:tc>
          <w:tcPr>
            <w:tcW w:w="2552" w:type="dxa"/>
          </w:tcPr>
          <w:p w14:paraId="6ECC4CF9" w14:textId="77777777" w:rsidR="00A36588" w:rsidRPr="00AA3DE9" w:rsidRDefault="00A36588" w:rsidP="00181181">
            <w:pPr>
              <w:tabs>
                <w:tab w:val="left" w:pos="9552"/>
              </w:tabs>
              <w:rPr>
                <w:rFonts w:ascii="Arial" w:hAnsi="Arial" w:cs="Arial"/>
                <w:color w:val="00B050"/>
              </w:rPr>
            </w:pPr>
            <w:r w:rsidRPr="00AA3DE9">
              <w:rPr>
                <w:rFonts w:ascii="Arial" w:hAnsi="Arial" w:cs="Arial"/>
                <w:color w:val="00B050"/>
              </w:rPr>
              <w:t>6.2% lower than men’s</w:t>
            </w:r>
          </w:p>
        </w:tc>
      </w:tr>
      <w:tr w:rsidR="00A36588" w:rsidRPr="00AA3DE9" w14:paraId="77FD262E" w14:textId="77777777" w:rsidTr="00181181">
        <w:trPr>
          <w:trHeight w:val="556"/>
        </w:trPr>
        <w:tc>
          <w:tcPr>
            <w:tcW w:w="3402" w:type="dxa"/>
          </w:tcPr>
          <w:p w14:paraId="7B9FD7D4" w14:textId="77777777" w:rsidR="00A36588" w:rsidRPr="00AA3DE9" w:rsidRDefault="00A36588" w:rsidP="00181181">
            <w:pPr>
              <w:tabs>
                <w:tab w:val="left" w:pos="9552"/>
              </w:tabs>
              <w:rPr>
                <w:rFonts w:ascii="Arial" w:hAnsi="Arial" w:cs="Arial"/>
              </w:rPr>
            </w:pPr>
            <w:r w:rsidRPr="00AA3DE9">
              <w:rPr>
                <w:rFonts w:ascii="Arial" w:hAnsi="Arial" w:cs="Arial"/>
              </w:rPr>
              <w:t>Norfolk And Suffolk NHS Foundation Trust</w:t>
            </w:r>
          </w:p>
        </w:tc>
        <w:tc>
          <w:tcPr>
            <w:tcW w:w="2410" w:type="dxa"/>
          </w:tcPr>
          <w:p w14:paraId="3E27CA90" w14:textId="77777777" w:rsidR="00A36588" w:rsidRPr="00AA3DE9" w:rsidRDefault="00A36588" w:rsidP="00181181">
            <w:pPr>
              <w:tabs>
                <w:tab w:val="left" w:pos="9552"/>
              </w:tabs>
              <w:rPr>
                <w:rFonts w:ascii="Arial" w:hAnsi="Arial" w:cs="Arial"/>
              </w:rPr>
            </w:pPr>
            <w:r w:rsidRPr="00AA3DE9">
              <w:rPr>
                <w:rFonts w:ascii="Arial" w:hAnsi="Arial" w:cs="Arial"/>
              </w:rPr>
              <w:t>14.4% lower than men’s</w:t>
            </w:r>
          </w:p>
        </w:tc>
        <w:tc>
          <w:tcPr>
            <w:tcW w:w="2552" w:type="dxa"/>
          </w:tcPr>
          <w:p w14:paraId="1792DB8B" w14:textId="77777777" w:rsidR="00A36588" w:rsidRPr="00AA3DE9" w:rsidRDefault="00A36588" w:rsidP="00181181">
            <w:pPr>
              <w:tabs>
                <w:tab w:val="left" w:pos="9552"/>
              </w:tabs>
              <w:rPr>
                <w:rFonts w:ascii="Arial" w:hAnsi="Arial" w:cs="Arial"/>
              </w:rPr>
            </w:pPr>
            <w:r w:rsidRPr="00AA3DE9">
              <w:rPr>
                <w:rFonts w:ascii="Arial" w:hAnsi="Arial" w:cs="Arial"/>
              </w:rPr>
              <w:t>7.7% lower than men’s</w:t>
            </w:r>
          </w:p>
        </w:tc>
      </w:tr>
      <w:tr w:rsidR="00A36588" w:rsidRPr="00AA3DE9" w14:paraId="4DA370C7" w14:textId="77777777" w:rsidTr="00181181">
        <w:trPr>
          <w:trHeight w:val="556"/>
        </w:trPr>
        <w:tc>
          <w:tcPr>
            <w:tcW w:w="3402" w:type="dxa"/>
          </w:tcPr>
          <w:p w14:paraId="45AEA5E0" w14:textId="77777777" w:rsidR="00A36588" w:rsidRPr="00AA3DE9" w:rsidRDefault="00A36588" w:rsidP="00181181">
            <w:pPr>
              <w:tabs>
                <w:tab w:val="left" w:pos="9552"/>
              </w:tabs>
              <w:rPr>
                <w:rFonts w:ascii="Arial" w:hAnsi="Arial" w:cs="Arial"/>
              </w:rPr>
            </w:pPr>
            <w:r w:rsidRPr="00AA3DE9">
              <w:rPr>
                <w:rFonts w:ascii="Arial" w:hAnsi="Arial" w:cs="Arial"/>
              </w:rPr>
              <w:t>North East London NHS Foundation Trust (NELFT)</w:t>
            </w:r>
          </w:p>
        </w:tc>
        <w:tc>
          <w:tcPr>
            <w:tcW w:w="2410" w:type="dxa"/>
          </w:tcPr>
          <w:p w14:paraId="581E6342" w14:textId="77777777" w:rsidR="00A36588" w:rsidRPr="00AA3DE9" w:rsidRDefault="00A36588" w:rsidP="00181181">
            <w:pPr>
              <w:tabs>
                <w:tab w:val="left" w:pos="9552"/>
              </w:tabs>
              <w:rPr>
                <w:rFonts w:ascii="Arial" w:hAnsi="Arial" w:cs="Arial"/>
              </w:rPr>
            </w:pPr>
            <w:r w:rsidRPr="00AA3DE9">
              <w:rPr>
                <w:rFonts w:ascii="Arial" w:hAnsi="Arial" w:cs="Arial"/>
              </w:rPr>
              <w:t>15.5% lower than men’s</w:t>
            </w:r>
          </w:p>
        </w:tc>
        <w:tc>
          <w:tcPr>
            <w:tcW w:w="2552" w:type="dxa"/>
          </w:tcPr>
          <w:p w14:paraId="20D2AF7F" w14:textId="77777777" w:rsidR="00A36588" w:rsidRPr="00AA3DE9" w:rsidRDefault="00A36588" w:rsidP="00181181">
            <w:pPr>
              <w:tabs>
                <w:tab w:val="left" w:pos="9552"/>
              </w:tabs>
              <w:rPr>
                <w:rFonts w:ascii="Arial" w:hAnsi="Arial" w:cs="Arial"/>
              </w:rPr>
            </w:pPr>
            <w:r w:rsidRPr="00AA3DE9">
              <w:rPr>
                <w:rFonts w:ascii="Arial" w:hAnsi="Arial" w:cs="Arial"/>
              </w:rPr>
              <w:t>11% lower than men’s</w:t>
            </w:r>
          </w:p>
        </w:tc>
      </w:tr>
      <w:tr w:rsidR="00A36588" w:rsidRPr="00AA3DE9" w14:paraId="5FE84823" w14:textId="77777777" w:rsidTr="00181181">
        <w:trPr>
          <w:trHeight w:val="556"/>
        </w:trPr>
        <w:tc>
          <w:tcPr>
            <w:tcW w:w="3402" w:type="dxa"/>
          </w:tcPr>
          <w:p w14:paraId="122A73BD" w14:textId="77777777" w:rsidR="00A36588" w:rsidRPr="00AA3DE9" w:rsidRDefault="00A36588" w:rsidP="00181181">
            <w:pPr>
              <w:tabs>
                <w:tab w:val="left" w:pos="9552"/>
              </w:tabs>
              <w:rPr>
                <w:rFonts w:ascii="Arial" w:hAnsi="Arial" w:cs="Arial"/>
              </w:rPr>
            </w:pPr>
            <w:r w:rsidRPr="00AA3DE9">
              <w:rPr>
                <w:rFonts w:ascii="Arial" w:hAnsi="Arial" w:cs="Arial"/>
              </w:rPr>
              <w:t>Mid and South Essex NHS Foundation Trust (MSEFT)</w:t>
            </w:r>
          </w:p>
        </w:tc>
        <w:tc>
          <w:tcPr>
            <w:tcW w:w="2410" w:type="dxa"/>
          </w:tcPr>
          <w:p w14:paraId="01A6CD4A" w14:textId="77777777" w:rsidR="00A36588" w:rsidRPr="00AA3DE9" w:rsidRDefault="00A36588" w:rsidP="00181181">
            <w:pPr>
              <w:tabs>
                <w:tab w:val="left" w:pos="9552"/>
              </w:tabs>
              <w:rPr>
                <w:rFonts w:ascii="Arial" w:hAnsi="Arial" w:cs="Arial"/>
              </w:rPr>
            </w:pPr>
            <w:r w:rsidRPr="00AA3DE9">
              <w:rPr>
                <w:rFonts w:ascii="Arial" w:hAnsi="Arial" w:cs="Arial"/>
              </w:rPr>
              <w:t>27.4% lower than men’s</w:t>
            </w:r>
          </w:p>
        </w:tc>
        <w:tc>
          <w:tcPr>
            <w:tcW w:w="2552" w:type="dxa"/>
          </w:tcPr>
          <w:p w14:paraId="771E4920" w14:textId="77777777" w:rsidR="00A36588" w:rsidRPr="00AA3DE9" w:rsidRDefault="00A36588" w:rsidP="00181181">
            <w:pPr>
              <w:tabs>
                <w:tab w:val="left" w:pos="9552"/>
              </w:tabs>
              <w:rPr>
                <w:rFonts w:ascii="Arial" w:hAnsi="Arial" w:cs="Arial"/>
              </w:rPr>
            </w:pPr>
            <w:r w:rsidRPr="00AA3DE9">
              <w:rPr>
                <w:rFonts w:ascii="Arial" w:hAnsi="Arial" w:cs="Arial"/>
              </w:rPr>
              <w:t>13.8% lower than men’s</w:t>
            </w:r>
          </w:p>
        </w:tc>
      </w:tr>
      <w:tr w:rsidR="00A36588" w:rsidRPr="00AA3DE9" w14:paraId="48569067" w14:textId="77777777" w:rsidTr="00181181">
        <w:trPr>
          <w:trHeight w:val="556"/>
        </w:trPr>
        <w:tc>
          <w:tcPr>
            <w:tcW w:w="3402" w:type="dxa"/>
          </w:tcPr>
          <w:p w14:paraId="6D24414D" w14:textId="77777777" w:rsidR="00A36588" w:rsidRPr="00AA3DE9" w:rsidRDefault="00A36588" w:rsidP="00181181">
            <w:pPr>
              <w:tabs>
                <w:tab w:val="left" w:pos="9552"/>
              </w:tabs>
              <w:rPr>
                <w:rFonts w:ascii="Arial" w:hAnsi="Arial" w:cs="Arial"/>
              </w:rPr>
            </w:pPr>
            <w:r w:rsidRPr="00AA3DE9">
              <w:rPr>
                <w:rFonts w:ascii="Arial" w:hAnsi="Arial" w:cs="Arial"/>
              </w:rPr>
              <w:lastRenderedPageBreak/>
              <w:t>The Princess Alexandra Hospital NHS Trust</w:t>
            </w:r>
          </w:p>
        </w:tc>
        <w:tc>
          <w:tcPr>
            <w:tcW w:w="2410" w:type="dxa"/>
          </w:tcPr>
          <w:p w14:paraId="22EA17F7" w14:textId="77777777" w:rsidR="00A36588" w:rsidRPr="00AA3DE9" w:rsidRDefault="00A36588" w:rsidP="00181181">
            <w:pPr>
              <w:tabs>
                <w:tab w:val="left" w:pos="9552"/>
              </w:tabs>
              <w:rPr>
                <w:rFonts w:ascii="Arial" w:hAnsi="Arial" w:cs="Arial"/>
              </w:rPr>
            </w:pPr>
            <w:r w:rsidRPr="00AA3DE9">
              <w:rPr>
                <w:rFonts w:ascii="Arial" w:hAnsi="Arial" w:cs="Arial"/>
              </w:rPr>
              <w:t>24% lower than men’s</w:t>
            </w:r>
          </w:p>
        </w:tc>
        <w:tc>
          <w:tcPr>
            <w:tcW w:w="2552" w:type="dxa"/>
          </w:tcPr>
          <w:p w14:paraId="09A63547" w14:textId="77777777" w:rsidR="00A36588" w:rsidRPr="00AA3DE9" w:rsidRDefault="00A36588" w:rsidP="00181181">
            <w:pPr>
              <w:tabs>
                <w:tab w:val="left" w:pos="9552"/>
              </w:tabs>
              <w:rPr>
                <w:rFonts w:ascii="Arial" w:hAnsi="Arial" w:cs="Arial"/>
              </w:rPr>
            </w:pPr>
            <w:r w:rsidRPr="00AA3DE9">
              <w:rPr>
                <w:rFonts w:ascii="Arial" w:hAnsi="Arial" w:cs="Arial"/>
              </w:rPr>
              <w:t>16% lower than men’s</w:t>
            </w:r>
          </w:p>
        </w:tc>
      </w:tr>
      <w:tr w:rsidR="00A36588" w:rsidRPr="00AA3DE9" w14:paraId="71720C48" w14:textId="77777777" w:rsidTr="00181181">
        <w:trPr>
          <w:trHeight w:val="556"/>
        </w:trPr>
        <w:tc>
          <w:tcPr>
            <w:tcW w:w="3402" w:type="dxa"/>
          </w:tcPr>
          <w:p w14:paraId="3BEE8E51" w14:textId="77777777" w:rsidR="00A36588" w:rsidRPr="00AA3DE9" w:rsidRDefault="00A36588" w:rsidP="00181181">
            <w:pPr>
              <w:tabs>
                <w:tab w:val="left" w:pos="9552"/>
              </w:tabs>
              <w:rPr>
                <w:rFonts w:ascii="Arial" w:hAnsi="Arial" w:cs="Arial"/>
              </w:rPr>
            </w:pPr>
            <w:r w:rsidRPr="00AA3DE9">
              <w:rPr>
                <w:rFonts w:ascii="Arial" w:hAnsi="Arial" w:cs="Arial"/>
              </w:rPr>
              <w:t>PROVIDE</w:t>
            </w:r>
          </w:p>
        </w:tc>
        <w:tc>
          <w:tcPr>
            <w:tcW w:w="2410" w:type="dxa"/>
          </w:tcPr>
          <w:p w14:paraId="49D69D88" w14:textId="77777777" w:rsidR="00A36588" w:rsidRPr="00AA3DE9" w:rsidRDefault="00A36588" w:rsidP="00181181">
            <w:pPr>
              <w:tabs>
                <w:tab w:val="left" w:pos="9552"/>
              </w:tabs>
              <w:rPr>
                <w:rFonts w:ascii="Arial" w:hAnsi="Arial" w:cs="Arial"/>
              </w:rPr>
            </w:pPr>
            <w:r w:rsidRPr="00AA3DE9">
              <w:rPr>
                <w:rFonts w:ascii="Arial" w:hAnsi="Arial" w:cs="Arial"/>
              </w:rPr>
              <w:t>20.8% lower than men’s</w:t>
            </w:r>
          </w:p>
        </w:tc>
        <w:tc>
          <w:tcPr>
            <w:tcW w:w="2552" w:type="dxa"/>
          </w:tcPr>
          <w:p w14:paraId="496637A8" w14:textId="77777777" w:rsidR="00A36588" w:rsidRPr="00AA3DE9" w:rsidRDefault="00A36588" w:rsidP="00181181">
            <w:pPr>
              <w:tabs>
                <w:tab w:val="left" w:pos="9552"/>
              </w:tabs>
              <w:rPr>
                <w:rFonts w:ascii="Arial" w:hAnsi="Arial" w:cs="Arial"/>
              </w:rPr>
            </w:pPr>
            <w:r w:rsidRPr="00AA3DE9">
              <w:rPr>
                <w:rFonts w:ascii="Arial" w:hAnsi="Arial" w:cs="Arial"/>
              </w:rPr>
              <w:t>20.6% lower than men’s</w:t>
            </w:r>
          </w:p>
        </w:tc>
      </w:tr>
    </w:tbl>
    <w:p w14:paraId="3F4E27B5" w14:textId="77777777" w:rsidR="00A36588" w:rsidRPr="00AA3DE9" w:rsidRDefault="00A36588" w:rsidP="00A36588">
      <w:pPr>
        <w:tabs>
          <w:tab w:val="left" w:pos="9552"/>
        </w:tabs>
        <w:rPr>
          <w:rFonts w:ascii="Arial" w:hAnsi="Arial" w:cs="Arial"/>
        </w:rPr>
      </w:pPr>
    </w:p>
    <w:p w14:paraId="345626D8" w14:textId="77777777" w:rsidR="00A36588" w:rsidRPr="00AA3DE9" w:rsidRDefault="00A36588" w:rsidP="00A36588">
      <w:pPr>
        <w:tabs>
          <w:tab w:val="left" w:pos="9552"/>
        </w:tabs>
        <w:rPr>
          <w:rFonts w:ascii="Arial" w:hAnsi="Arial" w:cs="Arial"/>
        </w:rPr>
      </w:pPr>
      <w:r w:rsidRPr="00AA3DE9">
        <w:rPr>
          <w:rFonts w:ascii="Arial" w:hAnsi="Arial" w:cs="Arial"/>
        </w:rPr>
        <w:t>Sample comparison data with neighbouring Trusts tells us:</w:t>
      </w:r>
    </w:p>
    <w:p w14:paraId="681CE902" w14:textId="77777777" w:rsidR="00A36588" w:rsidRPr="00AA3DE9" w:rsidRDefault="00A36588" w:rsidP="00A36588">
      <w:pPr>
        <w:pStyle w:val="ListParagraph"/>
        <w:widowControl w:val="0"/>
        <w:numPr>
          <w:ilvl w:val="0"/>
          <w:numId w:val="10"/>
        </w:numPr>
        <w:tabs>
          <w:tab w:val="left" w:pos="9552"/>
        </w:tabs>
        <w:autoSpaceDE w:val="0"/>
        <w:autoSpaceDN w:val="0"/>
        <w:spacing w:after="0" w:line="291" w:lineRule="exact"/>
        <w:contextualSpacing w:val="0"/>
        <w:rPr>
          <w:rFonts w:ascii="Arial" w:hAnsi="Arial" w:cs="Arial"/>
        </w:rPr>
      </w:pPr>
      <w:r w:rsidRPr="00AA3DE9">
        <w:rPr>
          <w:rFonts w:ascii="Arial" w:hAnsi="Arial" w:cs="Arial"/>
        </w:rPr>
        <w:t>EPUT is performing well in comparison with neighbouring providers</w:t>
      </w:r>
    </w:p>
    <w:p w14:paraId="3823E8F0" w14:textId="77777777" w:rsidR="00A36588" w:rsidRPr="00AA3DE9" w:rsidRDefault="00A36588" w:rsidP="00A36588">
      <w:pPr>
        <w:pStyle w:val="ListParagraph"/>
        <w:widowControl w:val="0"/>
        <w:numPr>
          <w:ilvl w:val="0"/>
          <w:numId w:val="10"/>
        </w:numPr>
        <w:tabs>
          <w:tab w:val="left" w:pos="9552"/>
        </w:tabs>
        <w:autoSpaceDE w:val="0"/>
        <w:autoSpaceDN w:val="0"/>
        <w:spacing w:after="0" w:line="291" w:lineRule="exact"/>
        <w:contextualSpacing w:val="0"/>
        <w:rPr>
          <w:rFonts w:ascii="Arial" w:hAnsi="Arial" w:cs="Arial"/>
        </w:rPr>
      </w:pPr>
      <w:r w:rsidRPr="00AA3DE9">
        <w:rPr>
          <w:rFonts w:ascii="Arial" w:hAnsi="Arial" w:cs="Arial"/>
        </w:rPr>
        <w:t xml:space="preserve">EPUT is a top performing NHS Provider in Mid &amp; South Essex ICS (EPUT, MSEFT, NELFT, </w:t>
      </w:r>
      <w:proofErr w:type="gramStart"/>
      <w:r w:rsidRPr="00AA3DE9">
        <w:rPr>
          <w:rFonts w:ascii="Arial" w:hAnsi="Arial" w:cs="Arial"/>
        </w:rPr>
        <w:t>Provide</w:t>
      </w:r>
      <w:proofErr w:type="gramEnd"/>
      <w:r w:rsidRPr="00AA3DE9">
        <w:rPr>
          <w:rFonts w:ascii="Arial" w:hAnsi="Arial" w:cs="Arial"/>
        </w:rPr>
        <w:t>)</w:t>
      </w:r>
      <w:r>
        <w:rPr>
          <w:rFonts w:ascii="Arial" w:hAnsi="Arial" w:cs="Arial"/>
        </w:rPr>
        <w:t>.</w:t>
      </w:r>
      <w:r w:rsidRPr="00AA3DE9">
        <w:rPr>
          <w:rFonts w:ascii="Arial" w:hAnsi="Arial" w:cs="Arial"/>
        </w:rPr>
        <w:t xml:space="preserve"> </w:t>
      </w:r>
    </w:p>
    <w:p w14:paraId="54AC18A7" w14:textId="77777777" w:rsidR="00A36588" w:rsidRPr="00AA3DE9" w:rsidRDefault="00A36588" w:rsidP="00A36588">
      <w:pPr>
        <w:widowControl w:val="0"/>
        <w:tabs>
          <w:tab w:val="left" w:pos="9552"/>
        </w:tabs>
        <w:autoSpaceDE w:val="0"/>
        <w:autoSpaceDN w:val="0"/>
        <w:spacing w:after="0" w:line="291" w:lineRule="exact"/>
        <w:rPr>
          <w:rFonts w:ascii="Arial" w:hAnsi="Arial" w:cs="Arial"/>
        </w:rPr>
      </w:pPr>
    </w:p>
    <w:p w14:paraId="693A93DC" w14:textId="77777777" w:rsidR="00A36588" w:rsidRPr="003E7B2B" w:rsidRDefault="00A36588" w:rsidP="00A36588">
      <w:pPr>
        <w:widowControl w:val="0"/>
        <w:tabs>
          <w:tab w:val="left" w:pos="9552"/>
        </w:tabs>
        <w:autoSpaceDE w:val="0"/>
        <w:autoSpaceDN w:val="0"/>
        <w:spacing w:after="0" w:line="291" w:lineRule="exact"/>
        <w:rPr>
          <w:rFonts w:ascii="Arial" w:hAnsi="Arial" w:cs="Arial"/>
        </w:rPr>
      </w:pPr>
      <w:r w:rsidRPr="00AA3DE9">
        <w:rPr>
          <w:rFonts w:ascii="Arial" w:hAnsi="Arial" w:cs="Arial"/>
        </w:rPr>
        <w:t>As part of our action plan, we will be reaching out to HPFT and ELFT to share best practice and to learn what steps they have taken to reduce their gender pay gap.</w:t>
      </w:r>
    </w:p>
    <w:p w14:paraId="07474CEC" w14:textId="77777777" w:rsidR="00A36588" w:rsidRPr="000E7424" w:rsidRDefault="00A36588" w:rsidP="00A36588">
      <w:pPr>
        <w:tabs>
          <w:tab w:val="left" w:pos="9552"/>
        </w:tabs>
        <w:spacing w:after="0" w:line="259" w:lineRule="auto"/>
        <w:rPr>
          <w:rFonts w:ascii="Arial" w:hAnsi="Arial" w:cs="Arial"/>
          <w:b/>
          <w:bCs/>
          <w:color w:val="005EB8"/>
          <w:sz w:val="28"/>
          <w:szCs w:val="28"/>
        </w:rPr>
      </w:pPr>
    </w:p>
    <w:p w14:paraId="555E9FB9" w14:textId="77777777" w:rsidR="00A36588" w:rsidRPr="000E7424" w:rsidRDefault="00A36588" w:rsidP="00A36588">
      <w:pPr>
        <w:tabs>
          <w:tab w:val="left" w:pos="9552"/>
        </w:tabs>
        <w:rPr>
          <w:rFonts w:ascii="Arial" w:hAnsi="Arial" w:cs="Arial"/>
          <w:b/>
          <w:color w:val="005EB8"/>
          <w:sz w:val="28"/>
          <w:szCs w:val="28"/>
        </w:rPr>
      </w:pPr>
      <w:r w:rsidRPr="000E7424">
        <w:rPr>
          <w:rFonts w:ascii="Arial" w:hAnsi="Arial" w:cs="Arial"/>
          <w:b/>
          <w:color w:val="005EB8"/>
          <w:sz w:val="28"/>
          <w:szCs w:val="28"/>
        </w:rPr>
        <w:t xml:space="preserve">EPUT’s progress </w:t>
      </w:r>
    </w:p>
    <w:p w14:paraId="2A225992" w14:textId="77777777" w:rsidR="00A36588" w:rsidRPr="000E7424" w:rsidRDefault="00A36588" w:rsidP="00A36588">
      <w:pPr>
        <w:tabs>
          <w:tab w:val="left" w:pos="9552"/>
        </w:tabs>
        <w:rPr>
          <w:rFonts w:ascii="Arial" w:hAnsi="Arial" w:cs="Arial"/>
        </w:rPr>
      </w:pPr>
      <w:r w:rsidRPr="000E7424">
        <w:rPr>
          <w:rFonts w:ascii="Arial" w:hAnsi="Arial" w:cs="Arial"/>
        </w:rPr>
        <w:t xml:space="preserve">On comparison to EPUT’s gender pay gap for the year 2017, we have seen a </w:t>
      </w:r>
      <w:r w:rsidRPr="00442E82">
        <w:rPr>
          <w:rFonts w:ascii="Arial" w:hAnsi="Arial" w:cs="Arial"/>
          <w:b/>
        </w:rPr>
        <w:t>reduction of 3.9% over the six years to 2023</w:t>
      </w:r>
      <w:r w:rsidRPr="000E7424">
        <w:rPr>
          <w:rFonts w:ascii="Arial" w:hAnsi="Arial" w:cs="Arial"/>
        </w:rPr>
        <w:t>.</w:t>
      </w:r>
    </w:p>
    <w:p w14:paraId="02D2F5F5" w14:textId="77777777" w:rsidR="00A36588" w:rsidRPr="000E7424" w:rsidRDefault="00A36588" w:rsidP="00A36588">
      <w:pPr>
        <w:tabs>
          <w:tab w:val="left" w:pos="9552"/>
        </w:tabs>
        <w:rPr>
          <w:rFonts w:ascii="Arial" w:hAnsi="Arial" w:cs="Arial"/>
        </w:rPr>
      </w:pPr>
      <w:r w:rsidRPr="000E7424">
        <w:rPr>
          <w:rFonts w:ascii="Arial" w:hAnsi="Arial" w:cs="Arial"/>
        </w:rPr>
        <w:t xml:space="preserve">Following the year-on-year reductions in the mean gender pay gap between 2017 and 2021 we did see an increase to 13% in 2022.  However, </w:t>
      </w:r>
      <w:r w:rsidRPr="00442E82">
        <w:rPr>
          <w:rFonts w:ascii="Arial" w:hAnsi="Arial" w:cs="Arial"/>
          <w:b/>
        </w:rPr>
        <w:t>2023 has seen a small reduction to 12.93%</w:t>
      </w:r>
      <w:r w:rsidRPr="000E7424">
        <w:rPr>
          <w:rFonts w:ascii="Arial" w:hAnsi="Arial" w:cs="Arial"/>
        </w:rPr>
        <w:t xml:space="preserve">. A full comparison can </w:t>
      </w:r>
      <w:r>
        <w:rPr>
          <w:rFonts w:ascii="Arial" w:hAnsi="Arial" w:cs="Arial"/>
        </w:rPr>
        <w:t>be found within the table below:</w:t>
      </w:r>
    </w:p>
    <w:tbl>
      <w:tblPr>
        <w:tblW w:w="0" w:type="auto"/>
        <w:tblInd w:w="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
        <w:gridCol w:w="2548"/>
        <w:gridCol w:w="1074"/>
        <w:gridCol w:w="1058"/>
        <w:gridCol w:w="1010"/>
        <w:gridCol w:w="929"/>
        <w:gridCol w:w="897"/>
        <w:gridCol w:w="897"/>
        <w:gridCol w:w="897"/>
      </w:tblGrid>
      <w:tr w:rsidR="00A36588" w:rsidRPr="000E7424" w14:paraId="59D89AED" w14:textId="77777777" w:rsidTr="00181181">
        <w:trPr>
          <w:trHeight w:val="540"/>
        </w:trPr>
        <w:tc>
          <w:tcPr>
            <w:tcW w:w="513" w:type="dxa"/>
          </w:tcPr>
          <w:p w14:paraId="72326927" w14:textId="77777777" w:rsidR="00A36588" w:rsidRPr="000E7424" w:rsidRDefault="00A36588" w:rsidP="00181181">
            <w:pPr>
              <w:tabs>
                <w:tab w:val="left" w:pos="9552"/>
              </w:tabs>
              <w:rPr>
                <w:rFonts w:ascii="Arial" w:hAnsi="Arial" w:cs="Arial"/>
              </w:rPr>
            </w:pPr>
          </w:p>
        </w:tc>
        <w:tc>
          <w:tcPr>
            <w:tcW w:w="2548" w:type="dxa"/>
          </w:tcPr>
          <w:p w14:paraId="12F9035F" w14:textId="77777777" w:rsidR="00A36588" w:rsidRPr="000E7424" w:rsidRDefault="00A36588" w:rsidP="00181181">
            <w:pPr>
              <w:tabs>
                <w:tab w:val="left" w:pos="9552"/>
              </w:tabs>
              <w:rPr>
                <w:rFonts w:ascii="Arial" w:hAnsi="Arial" w:cs="Arial"/>
              </w:rPr>
            </w:pPr>
          </w:p>
        </w:tc>
        <w:tc>
          <w:tcPr>
            <w:tcW w:w="1074" w:type="dxa"/>
            <w:shd w:val="clear" w:color="auto" w:fill="1E8BCD"/>
          </w:tcPr>
          <w:p w14:paraId="760303D6" w14:textId="77777777" w:rsidR="00A36588" w:rsidRPr="000E7424" w:rsidRDefault="00A36588" w:rsidP="00181181">
            <w:pPr>
              <w:tabs>
                <w:tab w:val="left" w:pos="9552"/>
              </w:tabs>
              <w:rPr>
                <w:rFonts w:ascii="Arial" w:hAnsi="Arial" w:cs="Arial"/>
              </w:rPr>
            </w:pPr>
          </w:p>
          <w:p w14:paraId="6CB72F03" w14:textId="77777777" w:rsidR="00A36588" w:rsidRPr="000E7424" w:rsidRDefault="00A36588" w:rsidP="00181181">
            <w:pPr>
              <w:tabs>
                <w:tab w:val="left" w:pos="9552"/>
              </w:tabs>
              <w:rPr>
                <w:rFonts w:ascii="Arial" w:hAnsi="Arial" w:cs="Arial"/>
              </w:rPr>
            </w:pPr>
            <w:r w:rsidRPr="000E7424">
              <w:rPr>
                <w:rFonts w:ascii="Arial" w:hAnsi="Arial" w:cs="Arial"/>
              </w:rPr>
              <w:t>2017</w:t>
            </w:r>
          </w:p>
        </w:tc>
        <w:tc>
          <w:tcPr>
            <w:tcW w:w="1058" w:type="dxa"/>
            <w:shd w:val="clear" w:color="auto" w:fill="1E8BCD"/>
          </w:tcPr>
          <w:p w14:paraId="4A93731C" w14:textId="77777777" w:rsidR="00A36588" w:rsidRPr="000E7424" w:rsidRDefault="00A36588" w:rsidP="00181181">
            <w:pPr>
              <w:tabs>
                <w:tab w:val="left" w:pos="9552"/>
              </w:tabs>
              <w:rPr>
                <w:rFonts w:ascii="Arial" w:hAnsi="Arial" w:cs="Arial"/>
              </w:rPr>
            </w:pPr>
          </w:p>
          <w:p w14:paraId="15B3DE1A" w14:textId="77777777" w:rsidR="00A36588" w:rsidRPr="000E7424" w:rsidRDefault="00A36588" w:rsidP="00181181">
            <w:pPr>
              <w:tabs>
                <w:tab w:val="left" w:pos="9552"/>
              </w:tabs>
              <w:rPr>
                <w:rFonts w:ascii="Arial" w:hAnsi="Arial" w:cs="Arial"/>
              </w:rPr>
            </w:pPr>
            <w:r w:rsidRPr="000E7424">
              <w:rPr>
                <w:rFonts w:ascii="Arial" w:hAnsi="Arial" w:cs="Arial"/>
              </w:rPr>
              <w:t>2018</w:t>
            </w:r>
          </w:p>
        </w:tc>
        <w:tc>
          <w:tcPr>
            <w:tcW w:w="1010" w:type="dxa"/>
            <w:shd w:val="clear" w:color="auto" w:fill="1E8BCD"/>
          </w:tcPr>
          <w:p w14:paraId="305C589F" w14:textId="77777777" w:rsidR="00A36588" w:rsidRPr="000E7424" w:rsidRDefault="00A36588" w:rsidP="00181181">
            <w:pPr>
              <w:tabs>
                <w:tab w:val="left" w:pos="9552"/>
              </w:tabs>
              <w:rPr>
                <w:rFonts w:ascii="Arial" w:hAnsi="Arial" w:cs="Arial"/>
              </w:rPr>
            </w:pPr>
          </w:p>
          <w:p w14:paraId="61C0A90C" w14:textId="77777777" w:rsidR="00A36588" w:rsidRPr="000E7424" w:rsidRDefault="00A36588" w:rsidP="00181181">
            <w:pPr>
              <w:tabs>
                <w:tab w:val="left" w:pos="9552"/>
              </w:tabs>
              <w:rPr>
                <w:rFonts w:ascii="Arial" w:hAnsi="Arial" w:cs="Arial"/>
              </w:rPr>
            </w:pPr>
            <w:r w:rsidRPr="000E7424">
              <w:rPr>
                <w:rFonts w:ascii="Arial" w:hAnsi="Arial" w:cs="Arial"/>
              </w:rPr>
              <w:t>2019</w:t>
            </w:r>
          </w:p>
        </w:tc>
        <w:tc>
          <w:tcPr>
            <w:tcW w:w="929" w:type="dxa"/>
            <w:shd w:val="clear" w:color="auto" w:fill="1E8BCD"/>
          </w:tcPr>
          <w:p w14:paraId="372210AB" w14:textId="77777777" w:rsidR="00A36588" w:rsidRPr="000E7424" w:rsidRDefault="00A36588" w:rsidP="00181181">
            <w:pPr>
              <w:tabs>
                <w:tab w:val="left" w:pos="9552"/>
              </w:tabs>
              <w:rPr>
                <w:rFonts w:ascii="Arial" w:hAnsi="Arial" w:cs="Arial"/>
              </w:rPr>
            </w:pPr>
          </w:p>
          <w:p w14:paraId="30E64BC2" w14:textId="77777777" w:rsidR="00A36588" w:rsidRPr="000E7424" w:rsidRDefault="00A36588" w:rsidP="00181181">
            <w:pPr>
              <w:tabs>
                <w:tab w:val="left" w:pos="9552"/>
              </w:tabs>
              <w:rPr>
                <w:rFonts w:ascii="Arial" w:hAnsi="Arial" w:cs="Arial"/>
              </w:rPr>
            </w:pPr>
            <w:r w:rsidRPr="000E7424">
              <w:rPr>
                <w:rFonts w:ascii="Arial" w:hAnsi="Arial" w:cs="Arial"/>
              </w:rPr>
              <w:t>2020</w:t>
            </w:r>
          </w:p>
        </w:tc>
        <w:tc>
          <w:tcPr>
            <w:tcW w:w="897" w:type="dxa"/>
            <w:shd w:val="clear" w:color="auto" w:fill="1E8BCD"/>
          </w:tcPr>
          <w:p w14:paraId="0DF530F0" w14:textId="77777777" w:rsidR="00A36588" w:rsidRPr="000E7424" w:rsidRDefault="00A36588" w:rsidP="00181181">
            <w:pPr>
              <w:tabs>
                <w:tab w:val="left" w:pos="9552"/>
              </w:tabs>
              <w:rPr>
                <w:rFonts w:ascii="Arial" w:hAnsi="Arial" w:cs="Arial"/>
              </w:rPr>
            </w:pPr>
          </w:p>
          <w:p w14:paraId="12632A67" w14:textId="77777777" w:rsidR="00A36588" w:rsidRPr="000E7424" w:rsidRDefault="00A36588" w:rsidP="00181181">
            <w:pPr>
              <w:tabs>
                <w:tab w:val="left" w:pos="9552"/>
              </w:tabs>
              <w:rPr>
                <w:rFonts w:ascii="Arial" w:hAnsi="Arial" w:cs="Arial"/>
              </w:rPr>
            </w:pPr>
            <w:r w:rsidRPr="000E7424">
              <w:rPr>
                <w:rFonts w:ascii="Arial" w:hAnsi="Arial" w:cs="Arial"/>
              </w:rPr>
              <w:t>2021</w:t>
            </w:r>
          </w:p>
        </w:tc>
        <w:tc>
          <w:tcPr>
            <w:tcW w:w="897" w:type="dxa"/>
            <w:shd w:val="clear" w:color="auto" w:fill="1E8BCD"/>
          </w:tcPr>
          <w:p w14:paraId="015E6246" w14:textId="77777777" w:rsidR="00A36588" w:rsidRPr="000E7424" w:rsidRDefault="00A36588" w:rsidP="00181181">
            <w:pPr>
              <w:tabs>
                <w:tab w:val="left" w:pos="9552"/>
              </w:tabs>
              <w:rPr>
                <w:rFonts w:ascii="Arial" w:hAnsi="Arial" w:cs="Arial"/>
              </w:rPr>
            </w:pPr>
          </w:p>
          <w:p w14:paraId="1CECDB64" w14:textId="77777777" w:rsidR="00A36588" w:rsidRPr="000E7424" w:rsidRDefault="00A36588" w:rsidP="00181181">
            <w:pPr>
              <w:tabs>
                <w:tab w:val="left" w:pos="9552"/>
              </w:tabs>
              <w:rPr>
                <w:rFonts w:ascii="Arial" w:hAnsi="Arial" w:cs="Arial"/>
              </w:rPr>
            </w:pPr>
            <w:r w:rsidRPr="000E7424">
              <w:rPr>
                <w:rFonts w:ascii="Arial" w:hAnsi="Arial" w:cs="Arial"/>
              </w:rPr>
              <w:t>2022</w:t>
            </w:r>
          </w:p>
        </w:tc>
        <w:tc>
          <w:tcPr>
            <w:tcW w:w="897" w:type="dxa"/>
            <w:shd w:val="clear" w:color="auto" w:fill="1E8BCD"/>
          </w:tcPr>
          <w:p w14:paraId="45A95B81" w14:textId="77777777" w:rsidR="00A36588" w:rsidRPr="000E7424" w:rsidRDefault="00A36588" w:rsidP="00181181">
            <w:pPr>
              <w:tabs>
                <w:tab w:val="left" w:pos="9552"/>
              </w:tabs>
              <w:rPr>
                <w:rFonts w:ascii="Arial" w:hAnsi="Arial" w:cs="Arial"/>
              </w:rPr>
            </w:pPr>
          </w:p>
          <w:p w14:paraId="0D28307B" w14:textId="77777777" w:rsidR="00A36588" w:rsidRPr="000E7424" w:rsidRDefault="00A36588" w:rsidP="00181181">
            <w:pPr>
              <w:tabs>
                <w:tab w:val="left" w:pos="9552"/>
              </w:tabs>
              <w:rPr>
                <w:rFonts w:ascii="Arial" w:hAnsi="Arial" w:cs="Arial"/>
              </w:rPr>
            </w:pPr>
            <w:r w:rsidRPr="000E7424">
              <w:rPr>
                <w:rFonts w:ascii="Arial" w:hAnsi="Arial" w:cs="Arial"/>
              </w:rPr>
              <w:t>2023</w:t>
            </w:r>
          </w:p>
        </w:tc>
      </w:tr>
      <w:tr w:rsidR="00A36588" w:rsidRPr="000E7424" w14:paraId="50375DE6" w14:textId="77777777" w:rsidTr="00181181">
        <w:trPr>
          <w:trHeight w:val="540"/>
        </w:trPr>
        <w:tc>
          <w:tcPr>
            <w:tcW w:w="513" w:type="dxa"/>
          </w:tcPr>
          <w:p w14:paraId="65BC516F" w14:textId="77777777" w:rsidR="00A36588" w:rsidRPr="000E7424" w:rsidRDefault="00A36588" w:rsidP="00181181">
            <w:pPr>
              <w:tabs>
                <w:tab w:val="left" w:pos="9552"/>
              </w:tabs>
              <w:rPr>
                <w:rFonts w:ascii="Arial" w:hAnsi="Arial" w:cs="Arial"/>
              </w:rPr>
            </w:pPr>
            <w:r w:rsidRPr="000E7424">
              <w:rPr>
                <w:rFonts w:ascii="Arial" w:hAnsi="Arial" w:cs="Arial"/>
              </w:rPr>
              <w:t>1.</w:t>
            </w:r>
          </w:p>
        </w:tc>
        <w:tc>
          <w:tcPr>
            <w:tcW w:w="2548" w:type="dxa"/>
          </w:tcPr>
          <w:p w14:paraId="048CF947" w14:textId="77777777" w:rsidR="00A36588" w:rsidRPr="000E7424" w:rsidRDefault="00A36588" w:rsidP="00181181">
            <w:pPr>
              <w:tabs>
                <w:tab w:val="left" w:pos="9552"/>
              </w:tabs>
              <w:rPr>
                <w:rFonts w:ascii="Arial" w:hAnsi="Arial" w:cs="Arial"/>
              </w:rPr>
            </w:pPr>
            <w:r w:rsidRPr="000E7424">
              <w:rPr>
                <w:rFonts w:ascii="Arial" w:hAnsi="Arial" w:cs="Arial"/>
              </w:rPr>
              <w:t>The mean gender pay gap for EPUT</w:t>
            </w:r>
          </w:p>
        </w:tc>
        <w:tc>
          <w:tcPr>
            <w:tcW w:w="1074" w:type="dxa"/>
          </w:tcPr>
          <w:p w14:paraId="2F43C620" w14:textId="77777777" w:rsidR="00A36588" w:rsidRPr="000E7424" w:rsidRDefault="00A36588" w:rsidP="00181181">
            <w:pPr>
              <w:tabs>
                <w:tab w:val="left" w:pos="9552"/>
              </w:tabs>
              <w:rPr>
                <w:rFonts w:ascii="Arial" w:hAnsi="Arial" w:cs="Arial"/>
              </w:rPr>
            </w:pPr>
          </w:p>
          <w:p w14:paraId="56148F58" w14:textId="77777777" w:rsidR="00A36588" w:rsidRPr="000E7424" w:rsidRDefault="00A36588" w:rsidP="00181181">
            <w:pPr>
              <w:tabs>
                <w:tab w:val="left" w:pos="9552"/>
              </w:tabs>
              <w:rPr>
                <w:rFonts w:ascii="Arial" w:hAnsi="Arial" w:cs="Arial"/>
              </w:rPr>
            </w:pPr>
            <w:r w:rsidRPr="000E7424">
              <w:rPr>
                <w:rFonts w:ascii="Arial" w:hAnsi="Arial" w:cs="Arial"/>
              </w:rPr>
              <w:t>16.9%</w:t>
            </w:r>
          </w:p>
        </w:tc>
        <w:tc>
          <w:tcPr>
            <w:tcW w:w="1058" w:type="dxa"/>
          </w:tcPr>
          <w:p w14:paraId="6DCBF503" w14:textId="77777777" w:rsidR="00A36588" w:rsidRPr="000E7424" w:rsidRDefault="00A36588" w:rsidP="00181181">
            <w:pPr>
              <w:tabs>
                <w:tab w:val="left" w:pos="9552"/>
              </w:tabs>
              <w:rPr>
                <w:rFonts w:ascii="Arial" w:hAnsi="Arial" w:cs="Arial"/>
              </w:rPr>
            </w:pPr>
          </w:p>
          <w:p w14:paraId="44837052" w14:textId="77777777" w:rsidR="00A36588" w:rsidRPr="000E7424" w:rsidRDefault="00A36588" w:rsidP="00181181">
            <w:pPr>
              <w:tabs>
                <w:tab w:val="left" w:pos="9552"/>
              </w:tabs>
              <w:rPr>
                <w:rFonts w:ascii="Arial" w:hAnsi="Arial" w:cs="Arial"/>
              </w:rPr>
            </w:pPr>
            <w:r w:rsidRPr="000E7424">
              <w:rPr>
                <w:rFonts w:ascii="Arial" w:hAnsi="Arial" w:cs="Arial"/>
              </w:rPr>
              <w:t>15.9%</w:t>
            </w:r>
          </w:p>
        </w:tc>
        <w:tc>
          <w:tcPr>
            <w:tcW w:w="1010" w:type="dxa"/>
          </w:tcPr>
          <w:p w14:paraId="0178D9ED" w14:textId="77777777" w:rsidR="00A36588" w:rsidRPr="000E7424" w:rsidRDefault="00A36588" w:rsidP="00181181">
            <w:pPr>
              <w:tabs>
                <w:tab w:val="left" w:pos="9552"/>
              </w:tabs>
              <w:rPr>
                <w:rFonts w:ascii="Arial" w:hAnsi="Arial" w:cs="Arial"/>
              </w:rPr>
            </w:pPr>
          </w:p>
          <w:p w14:paraId="144D0E4D" w14:textId="77777777" w:rsidR="00A36588" w:rsidRPr="000E7424" w:rsidRDefault="00A36588" w:rsidP="00181181">
            <w:pPr>
              <w:tabs>
                <w:tab w:val="left" w:pos="9552"/>
              </w:tabs>
              <w:rPr>
                <w:rFonts w:ascii="Arial" w:hAnsi="Arial" w:cs="Arial"/>
              </w:rPr>
            </w:pPr>
            <w:r w:rsidRPr="000E7424">
              <w:rPr>
                <w:rFonts w:ascii="Arial" w:hAnsi="Arial" w:cs="Arial"/>
              </w:rPr>
              <w:t>15.9%</w:t>
            </w:r>
          </w:p>
        </w:tc>
        <w:tc>
          <w:tcPr>
            <w:tcW w:w="929" w:type="dxa"/>
          </w:tcPr>
          <w:p w14:paraId="6B2A5219" w14:textId="77777777" w:rsidR="00A36588" w:rsidRPr="000E7424" w:rsidRDefault="00A36588" w:rsidP="00181181">
            <w:pPr>
              <w:tabs>
                <w:tab w:val="left" w:pos="9552"/>
              </w:tabs>
              <w:rPr>
                <w:rFonts w:ascii="Arial" w:hAnsi="Arial" w:cs="Arial"/>
              </w:rPr>
            </w:pPr>
          </w:p>
          <w:p w14:paraId="519C8247" w14:textId="77777777" w:rsidR="00A36588" w:rsidRPr="000E7424" w:rsidRDefault="00A36588" w:rsidP="00181181">
            <w:pPr>
              <w:tabs>
                <w:tab w:val="left" w:pos="9552"/>
              </w:tabs>
              <w:rPr>
                <w:rFonts w:ascii="Arial" w:hAnsi="Arial" w:cs="Arial"/>
              </w:rPr>
            </w:pPr>
            <w:r w:rsidRPr="000E7424">
              <w:rPr>
                <w:rFonts w:ascii="Arial" w:hAnsi="Arial" w:cs="Arial"/>
              </w:rPr>
              <w:t>14.3%</w:t>
            </w:r>
          </w:p>
        </w:tc>
        <w:tc>
          <w:tcPr>
            <w:tcW w:w="897" w:type="dxa"/>
          </w:tcPr>
          <w:p w14:paraId="7C3EC351" w14:textId="77777777" w:rsidR="00A36588" w:rsidRPr="000E7424" w:rsidRDefault="00A36588" w:rsidP="00181181">
            <w:pPr>
              <w:tabs>
                <w:tab w:val="left" w:pos="9552"/>
              </w:tabs>
              <w:rPr>
                <w:rFonts w:ascii="Arial" w:hAnsi="Arial" w:cs="Arial"/>
              </w:rPr>
            </w:pPr>
          </w:p>
          <w:p w14:paraId="0ED7FF5A" w14:textId="77777777" w:rsidR="00A36588" w:rsidRPr="000E7424" w:rsidRDefault="00A36588" w:rsidP="00181181">
            <w:pPr>
              <w:tabs>
                <w:tab w:val="left" w:pos="9552"/>
              </w:tabs>
              <w:rPr>
                <w:rFonts w:ascii="Arial" w:hAnsi="Arial" w:cs="Arial"/>
              </w:rPr>
            </w:pPr>
            <w:r w:rsidRPr="000E7424">
              <w:rPr>
                <w:rFonts w:ascii="Arial" w:hAnsi="Arial" w:cs="Arial"/>
              </w:rPr>
              <w:t>11.9%</w:t>
            </w:r>
          </w:p>
        </w:tc>
        <w:tc>
          <w:tcPr>
            <w:tcW w:w="897" w:type="dxa"/>
          </w:tcPr>
          <w:p w14:paraId="0F6BDC2A" w14:textId="77777777" w:rsidR="00A36588" w:rsidRPr="000E7424" w:rsidRDefault="00A36588" w:rsidP="00181181">
            <w:pPr>
              <w:tabs>
                <w:tab w:val="left" w:pos="9552"/>
              </w:tabs>
              <w:rPr>
                <w:rFonts w:ascii="Arial" w:hAnsi="Arial" w:cs="Arial"/>
              </w:rPr>
            </w:pPr>
          </w:p>
          <w:p w14:paraId="37EA0123" w14:textId="77777777" w:rsidR="00A36588" w:rsidRPr="000E7424" w:rsidRDefault="00A36588" w:rsidP="00181181">
            <w:pPr>
              <w:tabs>
                <w:tab w:val="left" w:pos="9552"/>
              </w:tabs>
              <w:rPr>
                <w:rFonts w:ascii="Arial" w:hAnsi="Arial" w:cs="Arial"/>
              </w:rPr>
            </w:pPr>
            <w:r w:rsidRPr="000E7424">
              <w:rPr>
                <w:rFonts w:ascii="Arial" w:hAnsi="Arial" w:cs="Arial"/>
              </w:rPr>
              <w:t>13%</w:t>
            </w:r>
          </w:p>
        </w:tc>
        <w:tc>
          <w:tcPr>
            <w:tcW w:w="897" w:type="dxa"/>
          </w:tcPr>
          <w:p w14:paraId="273A794D" w14:textId="77777777" w:rsidR="00A36588" w:rsidRPr="000E7424" w:rsidRDefault="00A36588" w:rsidP="00181181">
            <w:pPr>
              <w:tabs>
                <w:tab w:val="left" w:pos="9552"/>
              </w:tabs>
              <w:rPr>
                <w:rFonts w:ascii="Arial" w:hAnsi="Arial" w:cs="Arial"/>
              </w:rPr>
            </w:pPr>
          </w:p>
          <w:p w14:paraId="094C53CC" w14:textId="77777777" w:rsidR="00A36588" w:rsidRPr="000E7424" w:rsidRDefault="00A36588" w:rsidP="00181181">
            <w:pPr>
              <w:tabs>
                <w:tab w:val="left" w:pos="9552"/>
              </w:tabs>
              <w:rPr>
                <w:rFonts w:ascii="Arial" w:hAnsi="Arial" w:cs="Arial"/>
              </w:rPr>
            </w:pPr>
            <w:r w:rsidRPr="000E7424">
              <w:rPr>
                <w:rFonts w:ascii="Arial" w:hAnsi="Arial" w:cs="Arial"/>
              </w:rPr>
              <w:t>12.93%</w:t>
            </w:r>
          </w:p>
        </w:tc>
      </w:tr>
      <w:tr w:rsidR="00A36588" w:rsidRPr="000E7424" w14:paraId="41DF6104" w14:textId="77777777" w:rsidTr="00181181">
        <w:trPr>
          <w:trHeight w:val="533"/>
        </w:trPr>
        <w:tc>
          <w:tcPr>
            <w:tcW w:w="513" w:type="dxa"/>
          </w:tcPr>
          <w:p w14:paraId="771A2182" w14:textId="77777777" w:rsidR="00A36588" w:rsidRPr="000E7424" w:rsidRDefault="00A36588" w:rsidP="00181181">
            <w:pPr>
              <w:tabs>
                <w:tab w:val="left" w:pos="9552"/>
              </w:tabs>
              <w:rPr>
                <w:rFonts w:ascii="Arial" w:hAnsi="Arial" w:cs="Arial"/>
              </w:rPr>
            </w:pPr>
            <w:r w:rsidRPr="000E7424">
              <w:rPr>
                <w:rFonts w:ascii="Arial" w:hAnsi="Arial" w:cs="Arial"/>
              </w:rPr>
              <w:t>2.</w:t>
            </w:r>
          </w:p>
        </w:tc>
        <w:tc>
          <w:tcPr>
            <w:tcW w:w="2548" w:type="dxa"/>
          </w:tcPr>
          <w:p w14:paraId="40847A14" w14:textId="77777777" w:rsidR="00A36588" w:rsidRPr="000E7424" w:rsidRDefault="00A36588" w:rsidP="00181181">
            <w:pPr>
              <w:tabs>
                <w:tab w:val="left" w:pos="9552"/>
              </w:tabs>
              <w:rPr>
                <w:rFonts w:ascii="Arial" w:hAnsi="Arial" w:cs="Arial"/>
              </w:rPr>
            </w:pPr>
            <w:r w:rsidRPr="000E7424">
              <w:rPr>
                <w:rFonts w:ascii="Arial" w:hAnsi="Arial" w:cs="Arial"/>
              </w:rPr>
              <w:t>The median gender</w:t>
            </w:r>
          </w:p>
          <w:p w14:paraId="354C22DD" w14:textId="77777777" w:rsidR="00A36588" w:rsidRPr="000E7424" w:rsidRDefault="00A36588" w:rsidP="00181181">
            <w:pPr>
              <w:tabs>
                <w:tab w:val="left" w:pos="9552"/>
              </w:tabs>
              <w:rPr>
                <w:rFonts w:ascii="Arial" w:hAnsi="Arial" w:cs="Arial"/>
              </w:rPr>
            </w:pPr>
            <w:r w:rsidRPr="000E7424">
              <w:rPr>
                <w:rFonts w:ascii="Arial" w:hAnsi="Arial" w:cs="Arial"/>
              </w:rPr>
              <w:t>pay gap for EPUT</w:t>
            </w:r>
          </w:p>
        </w:tc>
        <w:tc>
          <w:tcPr>
            <w:tcW w:w="1074" w:type="dxa"/>
          </w:tcPr>
          <w:p w14:paraId="44E24AB5" w14:textId="77777777" w:rsidR="00A36588" w:rsidRPr="000E7424" w:rsidRDefault="00A36588" w:rsidP="00181181">
            <w:pPr>
              <w:tabs>
                <w:tab w:val="left" w:pos="9552"/>
              </w:tabs>
              <w:rPr>
                <w:rFonts w:ascii="Arial" w:hAnsi="Arial" w:cs="Arial"/>
              </w:rPr>
            </w:pPr>
          </w:p>
          <w:p w14:paraId="3858D41A" w14:textId="77777777" w:rsidR="00A36588" w:rsidRPr="000E7424" w:rsidRDefault="00A36588" w:rsidP="00181181">
            <w:pPr>
              <w:tabs>
                <w:tab w:val="left" w:pos="9552"/>
              </w:tabs>
              <w:rPr>
                <w:rFonts w:ascii="Arial" w:hAnsi="Arial" w:cs="Arial"/>
              </w:rPr>
            </w:pPr>
            <w:r w:rsidRPr="000E7424">
              <w:rPr>
                <w:rFonts w:ascii="Arial" w:hAnsi="Arial" w:cs="Arial"/>
              </w:rPr>
              <w:t>7.5%</w:t>
            </w:r>
          </w:p>
        </w:tc>
        <w:tc>
          <w:tcPr>
            <w:tcW w:w="1058" w:type="dxa"/>
          </w:tcPr>
          <w:p w14:paraId="42CDB4D3" w14:textId="77777777" w:rsidR="00A36588" w:rsidRPr="000E7424" w:rsidRDefault="00A36588" w:rsidP="00181181">
            <w:pPr>
              <w:tabs>
                <w:tab w:val="left" w:pos="9552"/>
              </w:tabs>
              <w:rPr>
                <w:rFonts w:ascii="Arial" w:hAnsi="Arial" w:cs="Arial"/>
              </w:rPr>
            </w:pPr>
          </w:p>
          <w:p w14:paraId="689ED226" w14:textId="77777777" w:rsidR="00A36588" w:rsidRPr="000E7424" w:rsidRDefault="00A36588" w:rsidP="00181181">
            <w:pPr>
              <w:tabs>
                <w:tab w:val="left" w:pos="9552"/>
              </w:tabs>
              <w:rPr>
                <w:rFonts w:ascii="Arial" w:hAnsi="Arial" w:cs="Arial"/>
              </w:rPr>
            </w:pPr>
            <w:r w:rsidRPr="000E7424">
              <w:rPr>
                <w:rFonts w:ascii="Arial" w:hAnsi="Arial" w:cs="Arial"/>
              </w:rPr>
              <w:t>7.4%</w:t>
            </w:r>
          </w:p>
        </w:tc>
        <w:tc>
          <w:tcPr>
            <w:tcW w:w="1010" w:type="dxa"/>
          </w:tcPr>
          <w:p w14:paraId="2FF0F14B" w14:textId="77777777" w:rsidR="00A36588" w:rsidRPr="000E7424" w:rsidRDefault="00A36588" w:rsidP="00181181">
            <w:pPr>
              <w:tabs>
                <w:tab w:val="left" w:pos="9552"/>
              </w:tabs>
              <w:rPr>
                <w:rFonts w:ascii="Arial" w:hAnsi="Arial" w:cs="Arial"/>
              </w:rPr>
            </w:pPr>
          </w:p>
          <w:p w14:paraId="49659CE4" w14:textId="77777777" w:rsidR="00A36588" w:rsidRPr="000E7424" w:rsidRDefault="00A36588" w:rsidP="00181181">
            <w:pPr>
              <w:tabs>
                <w:tab w:val="left" w:pos="9552"/>
              </w:tabs>
              <w:rPr>
                <w:rFonts w:ascii="Arial" w:hAnsi="Arial" w:cs="Arial"/>
              </w:rPr>
            </w:pPr>
            <w:r w:rsidRPr="000E7424">
              <w:rPr>
                <w:rFonts w:ascii="Arial" w:hAnsi="Arial" w:cs="Arial"/>
              </w:rPr>
              <w:t>8.9%</w:t>
            </w:r>
          </w:p>
        </w:tc>
        <w:tc>
          <w:tcPr>
            <w:tcW w:w="929" w:type="dxa"/>
          </w:tcPr>
          <w:p w14:paraId="5A40BE14" w14:textId="77777777" w:rsidR="00A36588" w:rsidRPr="000E7424" w:rsidRDefault="00A36588" w:rsidP="00181181">
            <w:pPr>
              <w:tabs>
                <w:tab w:val="left" w:pos="9552"/>
              </w:tabs>
              <w:rPr>
                <w:rFonts w:ascii="Arial" w:hAnsi="Arial" w:cs="Arial"/>
              </w:rPr>
            </w:pPr>
          </w:p>
          <w:p w14:paraId="00C8EAA6" w14:textId="77777777" w:rsidR="00A36588" w:rsidRPr="000E7424" w:rsidRDefault="00A36588" w:rsidP="00181181">
            <w:pPr>
              <w:tabs>
                <w:tab w:val="left" w:pos="9552"/>
              </w:tabs>
              <w:rPr>
                <w:rFonts w:ascii="Arial" w:hAnsi="Arial" w:cs="Arial"/>
              </w:rPr>
            </w:pPr>
            <w:r w:rsidRPr="000E7424">
              <w:rPr>
                <w:rFonts w:ascii="Arial" w:hAnsi="Arial" w:cs="Arial"/>
              </w:rPr>
              <w:t>8.1%</w:t>
            </w:r>
          </w:p>
        </w:tc>
        <w:tc>
          <w:tcPr>
            <w:tcW w:w="897" w:type="dxa"/>
          </w:tcPr>
          <w:p w14:paraId="36DE8C91" w14:textId="77777777" w:rsidR="00A36588" w:rsidRPr="000E7424" w:rsidRDefault="00A36588" w:rsidP="00181181">
            <w:pPr>
              <w:tabs>
                <w:tab w:val="left" w:pos="9552"/>
              </w:tabs>
              <w:rPr>
                <w:rFonts w:ascii="Arial" w:hAnsi="Arial" w:cs="Arial"/>
              </w:rPr>
            </w:pPr>
          </w:p>
          <w:p w14:paraId="12C35B3D" w14:textId="77777777" w:rsidR="00A36588" w:rsidRPr="000E7424" w:rsidRDefault="00A36588" w:rsidP="00181181">
            <w:pPr>
              <w:tabs>
                <w:tab w:val="left" w:pos="9552"/>
              </w:tabs>
              <w:rPr>
                <w:rFonts w:ascii="Arial" w:hAnsi="Arial" w:cs="Arial"/>
              </w:rPr>
            </w:pPr>
            <w:r w:rsidRPr="000E7424">
              <w:rPr>
                <w:rFonts w:ascii="Arial" w:hAnsi="Arial" w:cs="Arial"/>
              </w:rPr>
              <w:t>6.5%</w:t>
            </w:r>
          </w:p>
        </w:tc>
        <w:tc>
          <w:tcPr>
            <w:tcW w:w="897" w:type="dxa"/>
          </w:tcPr>
          <w:p w14:paraId="6B8FF9D1" w14:textId="77777777" w:rsidR="00A36588" w:rsidRPr="000E7424" w:rsidRDefault="00A36588" w:rsidP="00181181">
            <w:pPr>
              <w:tabs>
                <w:tab w:val="left" w:pos="9552"/>
              </w:tabs>
              <w:rPr>
                <w:rFonts w:ascii="Arial" w:hAnsi="Arial" w:cs="Arial"/>
              </w:rPr>
            </w:pPr>
          </w:p>
          <w:p w14:paraId="0D6FABC8" w14:textId="77777777" w:rsidR="00A36588" w:rsidRPr="000E7424" w:rsidRDefault="00A36588" w:rsidP="00181181">
            <w:pPr>
              <w:tabs>
                <w:tab w:val="left" w:pos="9552"/>
              </w:tabs>
              <w:rPr>
                <w:rFonts w:ascii="Arial" w:hAnsi="Arial" w:cs="Arial"/>
              </w:rPr>
            </w:pPr>
            <w:r w:rsidRPr="000E7424">
              <w:rPr>
                <w:rFonts w:ascii="Arial" w:hAnsi="Arial" w:cs="Arial"/>
              </w:rPr>
              <w:t>6.2%</w:t>
            </w:r>
          </w:p>
        </w:tc>
        <w:tc>
          <w:tcPr>
            <w:tcW w:w="897" w:type="dxa"/>
          </w:tcPr>
          <w:p w14:paraId="101DDE04" w14:textId="77777777" w:rsidR="00A36588" w:rsidRPr="000E7424" w:rsidRDefault="00A36588" w:rsidP="00181181">
            <w:pPr>
              <w:tabs>
                <w:tab w:val="left" w:pos="9552"/>
              </w:tabs>
              <w:rPr>
                <w:rFonts w:ascii="Arial" w:hAnsi="Arial" w:cs="Arial"/>
              </w:rPr>
            </w:pPr>
          </w:p>
          <w:p w14:paraId="64DB086E" w14:textId="77777777" w:rsidR="00A36588" w:rsidRPr="000E7424" w:rsidRDefault="00A36588" w:rsidP="00181181">
            <w:pPr>
              <w:tabs>
                <w:tab w:val="left" w:pos="9552"/>
              </w:tabs>
              <w:rPr>
                <w:rFonts w:ascii="Arial" w:hAnsi="Arial" w:cs="Arial"/>
              </w:rPr>
            </w:pPr>
            <w:r w:rsidRPr="000E7424">
              <w:rPr>
                <w:rFonts w:ascii="Arial" w:hAnsi="Arial" w:cs="Arial"/>
              </w:rPr>
              <w:t>7.31%</w:t>
            </w:r>
          </w:p>
        </w:tc>
      </w:tr>
      <w:tr w:rsidR="00A36588" w:rsidRPr="000E7424" w14:paraId="7B84E36C" w14:textId="77777777" w:rsidTr="00181181">
        <w:trPr>
          <w:trHeight w:val="540"/>
        </w:trPr>
        <w:tc>
          <w:tcPr>
            <w:tcW w:w="513" w:type="dxa"/>
          </w:tcPr>
          <w:p w14:paraId="3199B65D" w14:textId="77777777" w:rsidR="00A36588" w:rsidRPr="000E7424" w:rsidRDefault="00A36588" w:rsidP="00181181">
            <w:pPr>
              <w:tabs>
                <w:tab w:val="left" w:pos="9552"/>
              </w:tabs>
              <w:rPr>
                <w:rFonts w:ascii="Arial" w:hAnsi="Arial" w:cs="Arial"/>
              </w:rPr>
            </w:pPr>
            <w:r w:rsidRPr="000E7424">
              <w:rPr>
                <w:rFonts w:ascii="Arial" w:hAnsi="Arial" w:cs="Arial"/>
              </w:rPr>
              <w:t>3.</w:t>
            </w:r>
          </w:p>
        </w:tc>
        <w:tc>
          <w:tcPr>
            <w:tcW w:w="2548" w:type="dxa"/>
          </w:tcPr>
          <w:p w14:paraId="70F5D471" w14:textId="77777777" w:rsidR="00A36588" w:rsidRPr="000E7424" w:rsidRDefault="00A36588" w:rsidP="00181181">
            <w:pPr>
              <w:tabs>
                <w:tab w:val="left" w:pos="9552"/>
              </w:tabs>
              <w:rPr>
                <w:rFonts w:ascii="Arial" w:hAnsi="Arial" w:cs="Arial"/>
              </w:rPr>
            </w:pPr>
            <w:r>
              <w:rPr>
                <w:rFonts w:ascii="Arial" w:hAnsi="Arial" w:cs="Arial"/>
              </w:rPr>
              <w:t>The mean gender bonus</w:t>
            </w:r>
            <w:r w:rsidRPr="714899F6">
              <w:rPr>
                <w:rFonts w:ascii="Arial" w:hAnsi="Arial" w:cs="Arial"/>
              </w:rPr>
              <w:t xml:space="preserve"> gap for EPUT</w:t>
            </w:r>
          </w:p>
        </w:tc>
        <w:tc>
          <w:tcPr>
            <w:tcW w:w="1074" w:type="dxa"/>
          </w:tcPr>
          <w:p w14:paraId="21E3D7E8" w14:textId="77777777" w:rsidR="00A36588" w:rsidRPr="000E7424" w:rsidRDefault="00A36588" w:rsidP="00181181">
            <w:pPr>
              <w:tabs>
                <w:tab w:val="left" w:pos="9552"/>
              </w:tabs>
              <w:rPr>
                <w:rFonts w:ascii="Arial" w:hAnsi="Arial" w:cs="Arial"/>
              </w:rPr>
            </w:pPr>
          </w:p>
          <w:p w14:paraId="3CDEA5A4" w14:textId="77777777" w:rsidR="00A36588" w:rsidRPr="000E7424" w:rsidRDefault="00A36588" w:rsidP="00181181">
            <w:pPr>
              <w:tabs>
                <w:tab w:val="left" w:pos="9552"/>
              </w:tabs>
              <w:rPr>
                <w:rFonts w:ascii="Arial" w:hAnsi="Arial" w:cs="Arial"/>
              </w:rPr>
            </w:pPr>
            <w:r w:rsidRPr="000E7424">
              <w:rPr>
                <w:rFonts w:ascii="Arial" w:hAnsi="Arial" w:cs="Arial"/>
              </w:rPr>
              <w:t>34.4%</w:t>
            </w:r>
          </w:p>
        </w:tc>
        <w:tc>
          <w:tcPr>
            <w:tcW w:w="1058" w:type="dxa"/>
          </w:tcPr>
          <w:p w14:paraId="44854D8F" w14:textId="77777777" w:rsidR="00A36588" w:rsidRPr="000E7424" w:rsidRDefault="00A36588" w:rsidP="00181181">
            <w:pPr>
              <w:tabs>
                <w:tab w:val="left" w:pos="9552"/>
              </w:tabs>
              <w:rPr>
                <w:rFonts w:ascii="Arial" w:hAnsi="Arial" w:cs="Arial"/>
              </w:rPr>
            </w:pPr>
          </w:p>
          <w:p w14:paraId="48FD3DA4" w14:textId="77777777" w:rsidR="00A36588" w:rsidRPr="000E7424" w:rsidRDefault="00A36588" w:rsidP="00181181">
            <w:pPr>
              <w:tabs>
                <w:tab w:val="left" w:pos="9552"/>
              </w:tabs>
              <w:rPr>
                <w:rFonts w:ascii="Arial" w:hAnsi="Arial" w:cs="Arial"/>
              </w:rPr>
            </w:pPr>
            <w:r w:rsidRPr="000E7424">
              <w:rPr>
                <w:rFonts w:ascii="Arial" w:hAnsi="Arial" w:cs="Arial"/>
              </w:rPr>
              <w:t>31.2%</w:t>
            </w:r>
          </w:p>
        </w:tc>
        <w:tc>
          <w:tcPr>
            <w:tcW w:w="1010" w:type="dxa"/>
          </w:tcPr>
          <w:p w14:paraId="36329C7D" w14:textId="77777777" w:rsidR="00A36588" w:rsidRPr="000E7424" w:rsidRDefault="00A36588" w:rsidP="00181181">
            <w:pPr>
              <w:tabs>
                <w:tab w:val="left" w:pos="9552"/>
              </w:tabs>
              <w:rPr>
                <w:rFonts w:ascii="Arial" w:hAnsi="Arial" w:cs="Arial"/>
              </w:rPr>
            </w:pPr>
          </w:p>
          <w:p w14:paraId="4EAA2E11" w14:textId="77777777" w:rsidR="00A36588" w:rsidRPr="000E7424" w:rsidRDefault="00A36588" w:rsidP="00181181">
            <w:pPr>
              <w:tabs>
                <w:tab w:val="left" w:pos="9552"/>
              </w:tabs>
              <w:rPr>
                <w:rFonts w:ascii="Arial" w:hAnsi="Arial" w:cs="Arial"/>
              </w:rPr>
            </w:pPr>
            <w:r w:rsidRPr="000E7424">
              <w:rPr>
                <w:rFonts w:ascii="Arial" w:hAnsi="Arial" w:cs="Arial"/>
              </w:rPr>
              <w:t>25.2%</w:t>
            </w:r>
          </w:p>
        </w:tc>
        <w:tc>
          <w:tcPr>
            <w:tcW w:w="929" w:type="dxa"/>
          </w:tcPr>
          <w:p w14:paraId="71B62707" w14:textId="77777777" w:rsidR="00A36588" w:rsidRPr="000E7424" w:rsidRDefault="00A36588" w:rsidP="00181181">
            <w:pPr>
              <w:tabs>
                <w:tab w:val="left" w:pos="9552"/>
              </w:tabs>
              <w:rPr>
                <w:rFonts w:ascii="Arial" w:hAnsi="Arial" w:cs="Arial"/>
              </w:rPr>
            </w:pPr>
          </w:p>
          <w:p w14:paraId="7404241C" w14:textId="77777777" w:rsidR="00A36588" w:rsidRPr="000E7424" w:rsidRDefault="00A36588" w:rsidP="00181181">
            <w:pPr>
              <w:tabs>
                <w:tab w:val="left" w:pos="9552"/>
              </w:tabs>
              <w:rPr>
                <w:rFonts w:ascii="Arial" w:hAnsi="Arial" w:cs="Arial"/>
              </w:rPr>
            </w:pPr>
            <w:r w:rsidRPr="000E7424">
              <w:rPr>
                <w:rFonts w:ascii="Arial" w:hAnsi="Arial" w:cs="Arial"/>
              </w:rPr>
              <w:t>33.6%</w:t>
            </w:r>
          </w:p>
        </w:tc>
        <w:tc>
          <w:tcPr>
            <w:tcW w:w="897" w:type="dxa"/>
          </w:tcPr>
          <w:p w14:paraId="5DEA4E04" w14:textId="77777777" w:rsidR="00A36588" w:rsidRPr="000E7424" w:rsidRDefault="00A36588" w:rsidP="00181181">
            <w:pPr>
              <w:tabs>
                <w:tab w:val="left" w:pos="9552"/>
              </w:tabs>
              <w:rPr>
                <w:rFonts w:ascii="Arial" w:hAnsi="Arial" w:cs="Arial"/>
              </w:rPr>
            </w:pPr>
          </w:p>
          <w:p w14:paraId="00BFD56F" w14:textId="77777777" w:rsidR="00A36588" w:rsidRPr="000E7424" w:rsidRDefault="00A36588" w:rsidP="00181181">
            <w:pPr>
              <w:tabs>
                <w:tab w:val="left" w:pos="9552"/>
              </w:tabs>
              <w:rPr>
                <w:rFonts w:ascii="Arial" w:hAnsi="Arial" w:cs="Arial"/>
              </w:rPr>
            </w:pPr>
            <w:r w:rsidRPr="000E7424">
              <w:rPr>
                <w:rFonts w:ascii="Arial" w:hAnsi="Arial" w:cs="Arial"/>
              </w:rPr>
              <w:t>47%</w:t>
            </w:r>
          </w:p>
        </w:tc>
        <w:tc>
          <w:tcPr>
            <w:tcW w:w="897" w:type="dxa"/>
          </w:tcPr>
          <w:p w14:paraId="5A6BBEF7" w14:textId="77777777" w:rsidR="00A36588" w:rsidRPr="000E7424" w:rsidRDefault="00A36588" w:rsidP="00181181">
            <w:pPr>
              <w:tabs>
                <w:tab w:val="left" w:pos="9552"/>
              </w:tabs>
              <w:rPr>
                <w:rFonts w:ascii="Arial" w:hAnsi="Arial" w:cs="Arial"/>
              </w:rPr>
            </w:pPr>
          </w:p>
          <w:p w14:paraId="7289FA0C" w14:textId="77777777" w:rsidR="00A36588" w:rsidRPr="000E7424" w:rsidRDefault="00A36588" w:rsidP="00181181">
            <w:pPr>
              <w:tabs>
                <w:tab w:val="left" w:pos="9552"/>
              </w:tabs>
              <w:rPr>
                <w:rFonts w:ascii="Arial" w:hAnsi="Arial" w:cs="Arial"/>
              </w:rPr>
            </w:pPr>
            <w:r w:rsidRPr="000E7424">
              <w:rPr>
                <w:rFonts w:ascii="Arial" w:hAnsi="Arial" w:cs="Arial"/>
              </w:rPr>
              <w:t>59.5%</w:t>
            </w:r>
          </w:p>
        </w:tc>
        <w:tc>
          <w:tcPr>
            <w:tcW w:w="897" w:type="dxa"/>
          </w:tcPr>
          <w:p w14:paraId="324A8E61" w14:textId="77777777" w:rsidR="00A36588" w:rsidRPr="000E7424" w:rsidRDefault="00A36588" w:rsidP="00181181">
            <w:pPr>
              <w:tabs>
                <w:tab w:val="left" w:pos="9552"/>
              </w:tabs>
              <w:rPr>
                <w:rFonts w:ascii="Arial" w:hAnsi="Arial" w:cs="Arial"/>
              </w:rPr>
            </w:pPr>
          </w:p>
          <w:p w14:paraId="7144E7FE" w14:textId="77777777" w:rsidR="00A36588" w:rsidRPr="000E7424" w:rsidRDefault="00A36588" w:rsidP="00181181">
            <w:pPr>
              <w:tabs>
                <w:tab w:val="left" w:pos="9552"/>
              </w:tabs>
              <w:rPr>
                <w:rFonts w:ascii="Arial" w:hAnsi="Arial" w:cs="Arial"/>
              </w:rPr>
            </w:pPr>
            <w:r w:rsidRPr="000E7424">
              <w:rPr>
                <w:rFonts w:ascii="Arial" w:hAnsi="Arial" w:cs="Arial"/>
              </w:rPr>
              <w:t>56.01%</w:t>
            </w:r>
          </w:p>
        </w:tc>
      </w:tr>
      <w:tr w:rsidR="00A36588" w:rsidRPr="000E7424" w14:paraId="6452FB5C" w14:textId="77777777" w:rsidTr="00181181">
        <w:trPr>
          <w:trHeight w:val="533"/>
        </w:trPr>
        <w:tc>
          <w:tcPr>
            <w:tcW w:w="513" w:type="dxa"/>
          </w:tcPr>
          <w:p w14:paraId="341592A8" w14:textId="77777777" w:rsidR="00A36588" w:rsidRPr="000E7424" w:rsidRDefault="00A36588" w:rsidP="00181181">
            <w:pPr>
              <w:tabs>
                <w:tab w:val="left" w:pos="9552"/>
              </w:tabs>
              <w:rPr>
                <w:rFonts w:ascii="Arial" w:hAnsi="Arial" w:cs="Arial"/>
              </w:rPr>
            </w:pPr>
            <w:r w:rsidRPr="000E7424">
              <w:rPr>
                <w:rFonts w:ascii="Arial" w:hAnsi="Arial" w:cs="Arial"/>
              </w:rPr>
              <w:t>4.</w:t>
            </w:r>
          </w:p>
        </w:tc>
        <w:tc>
          <w:tcPr>
            <w:tcW w:w="2548" w:type="dxa"/>
          </w:tcPr>
          <w:p w14:paraId="3AA80A94" w14:textId="77777777" w:rsidR="00A36588" w:rsidRPr="000E7424" w:rsidRDefault="00A36588" w:rsidP="00181181">
            <w:pPr>
              <w:tabs>
                <w:tab w:val="left" w:pos="9552"/>
              </w:tabs>
              <w:rPr>
                <w:rFonts w:ascii="Arial" w:hAnsi="Arial" w:cs="Arial"/>
              </w:rPr>
            </w:pPr>
            <w:r w:rsidRPr="000E7424">
              <w:rPr>
                <w:rFonts w:ascii="Arial" w:hAnsi="Arial" w:cs="Arial"/>
              </w:rPr>
              <w:t>The median gender</w:t>
            </w:r>
          </w:p>
          <w:p w14:paraId="5BAA978C" w14:textId="77777777" w:rsidR="00A36588" w:rsidRPr="000E7424" w:rsidRDefault="00A36588" w:rsidP="00181181">
            <w:pPr>
              <w:tabs>
                <w:tab w:val="left" w:pos="9552"/>
              </w:tabs>
              <w:rPr>
                <w:rFonts w:ascii="Arial" w:hAnsi="Arial" w:cs="Arial"/>
              </w:rPr>
            </w:pPr>
            <w:r w:rsidRPr="000E7424">
              <w:rPr>
                <w:rFonts w:ascii="Arial" w:hAnsi="Arial" w:cs="Arial"/>
              </w:rPr>
              <w:t>bonus* gap for EPUT</w:t>
            </w:r>
          </w:p>
        </w:tc>
        <w:tc>
          <w:tcPr>
            <w:tcW w:w="1074" w:type="dxa"/>
          </w:tcPr>
          <w:p w14:paraId="3A84B026" w14:textId="77777777" w:rsidR="00A36588" w:rsidRPr="000E7424" w:rsidRDefault="00A36588" w:rsidP="00181181">
            <w:pPr>
              <w:tabs>
                <w:tab w:val="left" w:pos="9552"/>
              </w:tabs>
              <w:rPr>
                <w:rFonts w:ascii="Arial" w:hAnsi="Arial" w:cs="Arial"/>
              </w:rPr>
            </w:pPr>
          </w:p>
          <w:p w14:paraId="0F6676ED" w14:textId="77777777" w:rsidR="00A36588" w:rsidRPr="000E7424" w:rsidRDefault="00A36588" w:rsidP="00181181">
            <w:pPr>
              <w:tabs>
                <w:tab w:val="left" w:pos="9552"/>
              </w:tabs>
              <w:rPr>
                <w:rFonts w:ascii="Arial" w:hAnsi="Arial" w:cs="Arial"/>
              </w:rPr>
            </w:pPr>
            <w:r w:rsidRPr="000E7424">
              <w:rPr>
                <w:rFonts w:ascii="Arial" w:hAnsi="Arial" w:cs="Arial"/>
              </w:rPr>
              <w:t>50.3%</w:t>
            </w:r>
          </w:p>
        </w:tc>
        <w:tc>
          <w:tcPr>
            <w:tcW w:w="1058" w:type="dxa"/>
          </w:tcPr>
          <w:p w14:paraId="68ED22C2" w14:textId="77777777" w:rsidR="00A36588" w:rsidRPr="000E7424" w:rsidRDefault="00A36588" w:rsidP="00181181">
            <w:pPr>
              <w:tabs>
                <w:tab w:val="left" w:pos="9552"/>
              </w:tabs>
              <w:rPr>
                <w:rFonts w:ascii="Arial" w:hAnsi="Arial" w:cs="Arial"/>
              </w:rPr>
            </w:pPr>
          </w:p>
          <w:p w14:paraId="6C5B634F" w14:textId="77777777" w:rsidR="00A36588" w:rsidRPr="000E7424" w:rsidRDefault="00A36588" w:rsidP="00181181">
            <w:pPr>
              <w:tabs>
                <w:tab w:val="left" w:pos="9552"/>
              </w:tabs>
              <w:rPr>
                <w:rFonts w:ascii="Arial" w:hAnsi="Arial" w:cs="Arial"/>
              </w:rPr>
            </w:pPr>
            <w:r w:rsidRPr="000E7424">
              <w:rPr>
                <w:rFonts w:ascii="Arial" w:hAnsi="Arial" w:cs="Arial"/>
              </w:rPr>
              <w:t>51.7%</w:t>
            </w:r>
          </w:p>
        </w:tc>
        <w:tc>
          <w:tcPr>
            <w:tcW w:w="1010" w:type="dxa"/>
          </w:tcPr>
          <w:p w14:paraId="08FDD10D" w14:textId="77777777" w:rsidR="00A36588" w:rsidRPr="000E7424" w:rsidRDefault="00A36588" w:rsidP="00181181">
            <w:pPr>
              <w:tabs>
                <w:tab w:val="left" w:pos="9552"/>
              </w:tabs>
              <w:rPr>
                <w:rFonts w:ascii="Arial" w:hAnsi="Arial" w:cs="Arial"/>
              </w:rPr>
            </w:pPr>
          </w:p>
          <w:p w14:paraId="0C49A33D" w14:textId="77777777" w:rsidR="00A36588" w:rsidRPr="000E7424" w:rsidRDefault="00A36588" w:rsidP="00181181">
            <w:pPr>
              <w:tabs>
                <w:tab w:val="left" w:pos="9552"/>
              </w:tabs>
              <w:rPr>
                <w:rFonts w:ascii="Arial" w:hAnsi="Arial" w:cs="Arial"/>
              </w:rPr>
            </w:pPr>
            <w:r w:rsidRPr="000E7424">
              <w:rPr>
                <w:rFonts w:ascii="Arial" w:hAnsi="Arial" w:cs="Arial"/>
              </w:rPr>
              <w:t>45%</w:t>
            </w:r>
          </w:p>
        </w:tc>
        <w:tc>
          <w:tcPr>
            <w:tcW w:w="929" w:type="dxa"/>
          </w:tcPr>
          <w:p w14:paraId="00080187" w14:textId="77777777" w:rsidR="00A36588" w:rsidRPr="000E7424" w:rsidRDefault="00A36588" w:rsidP="00181181">
            <w:pPr>
              <w:tabs>
                <w:tab w:val="left" w:pos="9552"/>
              </w:tabs>
              <w:rPr>
                <w:rFonts w:ascii="Arial" w:hAnsi="Arial" w:cs="Arial"/>
              </w:rPr>
            </w:pPr>
          </w:p>
          <w:p w14:paraId="4E2F4B85" w14:textId="77777777" w:rsidR="00A36588" w:rsidRPr="000E7424" w:rsidRDefault="00A36588" w:rsidP="00181181">
            <w:pPr>
              <w:tabs>
                <w:tab w:val="left" w:pos="9552"/>
              </w:tabs>
              <w:rPr>
                <w:rFonts w:ascii="Arial" w:hAnsi="Arial" w:cs="Arial"/>
              </w:rPr>
            </w:pPr>
            <w:r w:rsidRPr="000E7424">
              <w:rPr>
                <w:rFonts w:ascii="Arial" w:hAnsi="Arial" w:cs="Arial"/>
              </w:rPr>
              <w:t>30.8%</w:t>
            </w:r>
          </w:p>
        </w:tc>
        <w:tc>
          <w:tcPr>
            <w:tcW w:w="897" w:type="dxa"/>
          </w:tcPr>
          <w:p w14:paraId="0770FEFE" w14:textId="77777777" w:rsidR="00A36588" w:rsidRPr="000E7424" w:rsidRDefault="00A36588" w:rsidP="00181181">
            <w:pPr>
              <w:tabs>
                <w:tab w:val="left" w:pos="9552"/>
              </w:tabs>
              <w:rPr>
                <w:rFonts w:ascii="Arial" w:hAnsi="Arial" w:cs="Arial"/>
              </w:rPr>
            </w:pPr>
          </w:p>
          <w:p w14:paraId="14F316F1" w14:textId="77777777" w:rsidR="00A36588" w:rsidRPr="000E7424" w:rsidRDefault="00A36588" w:rsidP="00181181">
            <w:pPr>
              <w:tabs>
                <w:tab w:val="left" w:pos="9552"/>
              </w:tabs>
              <w:rPr>
                <w:rFonts w:ascii="Arial" w:hAnsi="Arial" w:cs="Arial"/>
              </w:rPr>
            </w:pPr>
            <w:r w:rsidRPr="000E7424">
              <w:rPr>
                <w:rFonts w:ascii="Arial" w:hAnsi="Arial" w:cs="Arial"/>
              </w:rPr>
              <w:t>75%</w:t>
            </w:r>
          </w:p>
        </w:tc>
        <w:tc>
          <w:tcPr>
            <w:tcW w:w="897" w:type="dxa"/>
          </w:tcPr>
          <w:p w14:paraId="4CC3C5A9" w14:textId="77777777" w:rsidR="00A36588" w:rsidRPr="000E7424" w:rsidRDefault="00A36588" w:rsidP="00181181">
            <w:pPr>
              <w:tabs>
                <w:tab w:val="left" w:pos="9552"/>
              </w:tabs>
              <w:rPr>
                <w:rFonts w:ascii="Arial" w:hAnsi="Arial" w:cs="Arial"/>
              </w:rPr>
            </w:pPr>
          </w:p>
          <w:p w14:paraId="0D82C162" w14:textId="77777777" w:rsidR="00A36588" w:rsidRPr="000E7424" w:rsidRDefault="00A36588" w:rsidP="00181181">
            <w:pPr>
              <w:tabs>
                <w:tab w:val="left" w:pos="9552"/>
              </w:tabs>
              <w:rPr>
                <w:rFonts w:ascii="Arial" w:hAnsi="Arial" w:cs="Arial"/>
              </w:rPr>
            </w:pPr>
            <w:r w:rsidRPr="000E7424">
              <w:rPr>
                <w:rFonts w:ascii="Arial" w:hAnsi="Arial" w:cs="Arial"/>
              </w:rPr>
              <w:t>79.6%</w:t>
            </w:r>
          </w:p>
        </w:tc>
        <w:tc>
          <w:tcPr>
            <w:tcW w:w="897" w:type="dxa"/>
          </w:tcPr>
          <w:p w14:paraId="6C419009" w14:textId="77777777" w:rsidR="00A36588" w:rsidRPr="000E7424" w:rsidRDefault="00A36588" w:rsidP="00181181">
            <w:pPr>
              <w:tabs>
                <w:tab w:val="left" w:pos="9552"/>
              </w:tabs>
              <w:rPr>
                <w:rFonts w:ascii="Arial" w:hAnsi="Arial" w:cs="Arial"/>
              </w:rPr>
            </w:pPr>
          </w:p>
          <w:p w14:paraId="2A3F9565" w14:textId="77777777" w:rsidR="00A36588" w:rsidRPr="000E7424" w:rsidRDefault="00A36588" w:rsidP="00181181">
            <w:pPr>
              <w:tabs>
                <w:tab w:val="left" w:pos="9552"/>
              </w:tabs>
              <w:rPr>
                <w:rFonts w:ascii="Arial" w:hAnsi="Arial" w:cs="Arial"/>
              </w:rPr>
            </w:pPr>
            <w:r w:rsidRPr="000E7424">
              <w:rPr>
                <w:rFonts w:ascii="Arial" w:hAnsi="Arial" w:cs="Arial"/>
              </w:rPr>
              <w:t>66.84%</w:t>
            </w:r>
          </w:p>
        </w:tc>
      </w:tr>
    </w:tbl>
    <w:p w14:paraId="5E81F70D" w14:textId="77777777" w:rsidR="00A36588" w:rsidRPr="000E7424" w:rsidRDefault="00A36588" w:rsidP="00A36588">
      <w:pPr>
        <w:tabs>
          <w:tab w:val="left" w:pos="9552"/>
        </w:tabs>
        <w:rPr>
          <w:rFonts w:ascii="Arial" w:hAnsi="Arial" w:cs="Arial"/>
        </w:rPr>
      </w:pPr>
    </w:p>
    <w:p w14:paraId="3AEF8683" w14:textId="77777777" w:rsidR="00A36588" w:rsidRDefault="00A36588" w:rsidP="00A36588">
      <w:pPr>
        <w:tabs>
          <w:tab w:val="left" w:pos="9552"/>
        </w:tabs>
        <w:rPr>
          <w:rFonts w:ascii="Arial" w:hAnsi="Arial" w:cs="Arial"/>
          <w:b/>
        </w:rPr>
      </w:pPr>
      <w:r w:rsidRPr="000E7424">
        <w:rPr>
          <w:rFonts w:ascii="Arial" w:hAnsi="Arial" w:cs="Arial"/>
        </w:rPr>
        <w:t xml:space="preserve">When comparing EPUT’s gender pay gap nationally, EPUT is </w:t>
      </w:r>
      <w:r w:rsidRPr="000E7424">
        <w:rPr>
          <w:rFonts w:ascii="Arial" w:hAnsi="Arial" w:cs="Arial"/>
          <w:b/>
        </w:rPr>
        <w:t>below the national average of 14.9%.</w:t>
      </w:r>
    </w:p>
    <w:p w14:paraId="120832CC" w14:textId="77777777" w:rsidR="00A36588" w:rsidRDefault="00A36588" w:rsidP="00A36588">
      <w:pPr>
        <w:tabs>
          <w:tab w:val="left" w:pos="9552"/>
        </w:tabs>
        <w:rPr>
          <w:rFonts w:ascii="Arial" w:hAnsi="Arial" w:cs="Arial"/>
          <w:b/>
        </w:rPr>
      </w:pPr>
    </w:p>
    <w:p w14:paraId="5F918277" w14:textId="77777777" w:rsidR="00A36588" w:rsidRDefault="00A36588" w:rsidP="00A36588">
      <w:pPr>
        <w:tabs>
          <w:tab w:val="left" w:pos="9552"/>
        </w:tabs>
        <w:rPr>
          <w:rFonts w:ascii="Arial" w:hAnsi="Arial" w:cs="Arial"/>
          <w:b/>
        </w:rPr>
      </w:pPr>
    </w:p>
    <w:p w14:paraId="6C46FE92" w14:textId="77777777" w:rsidR="00A36588" w:rsidRDefault="00A36588" w:rsidP="00A36588">
      <w:pPr>
        <w:tabs>
          <w:tab w:val="left" w:pos="9552"/>
        </w:tabs>
        <w:rPr>
          <w:rFonts w:ascii="Arial" w:hAnsi="Arial" w:cs="Arial"/>
          <w:b/>
        </w:rPr>
      </w:pPr>
    </w:p>
    <w:p w14:paraId="7AA12417" w14:textId="77777777" w:rsidR="00A36588" w:rsidRDefault="00A36588" w:rsidP="00A36588">
      <w:pPr>
        <w:tabs>
          <w:tab w:val="left" w:pos="9552"/>
        </w:tabs>
        <w:rPr>
          <w:rFonts w:ascii="Arial" w:hAnsi="Arial" w:cs="Arial"/>
          <w:b/>
        </w:rPr>
      </w:pPr>
    </w:p>
    <w:p w14:paraId="12F28CB4" w14:textId="77777777" w:rsidR="00A36588" w:rsidRDefault="00A36588" w:rsidP="00A36588">
      <w:pPr>
        <w:tabs>
          <w:tab w:val="left" w:pos="9552"/>
        </w:tabs>
        <w:rPr>
          <w:rFonts w:ascii="Arial" w:hAnsi="Arial" w:cs="Arial"/>
          <w:b/>
        </w:rPr>
      </w:pPr>
    </w:p>
    <w:p w14:paraId="7E0CA316" w14:textId="77777777" w:rsidR="00A36588" w:rsidRPr="000E7424" w:rsidRDefault="00A36588" w:rsidP="00A36588">
      <w:pPr>
        <w:tabs>
          <w:tab w:val="left" w:pos="9552"/>
        </w:tabs>
        <w:spacing w:after="0"/>
        <w:rPr>
          <w:rFonts w:ascii="Arial" w:hAnsi="Arial" w:cs="Arial"/>
          <w:b/>
        </w:rPr>
      </w:pPr>
    </w:p>
    <w:p w14:paraId="45D9910E" w14:textId="77777777" w:rsidR="00A36588" w:rsidRPr="000E7424" w:rsidRDefault="00A36588" w:rsidP="00A36588">
      <w:pPr>
        <w:tabs>
          <w:tab w:val="left" w:pos="9552"/>
        </w:tabs>
        <w:rPr>
          <w:rFonts w:ascii="Arial" w:hAnsi="Arial" w:cs="Arial"/>
        </w:rPr>
      </w:pPr>
      <w:r w:rsidRPr="000E7424">
        <w:rPr>
          <w:rFonts w:ascii="Arial" w:hAnsi="Arial" w:cs="Arial"/>
        </w:rPr>
        <w:t>The Trust recognises that it has further work to do in positively impacting the gender pay gap position, particularly amongst the medical workforce and application for C</w:t>
      </w:r>
      <w:r>
        <w:rPr>
          <w:rFonts w:ascii="Arial" w:hAnsi="Arial" w:cs="Arial"/>
        </w:rPr>
        <w:t>E</w:t>
      </w:r>
      <w:r w:rsidRPr="000E7424">
        <w:rPr>
          <w:rFonts w:ascii="Arial" w:hAnsi="Arial" w:cs="Arial"/>
        </w:rPr>
        <w:t xml:space="preserve">A awards. </w:t>
      </w:r>
      <w:r>
        <w:rPr>
          <w:rFonts w:ascii="Arial" w:hAnsi="Arial" w:cs="Arial"/>
        </w:rPr>
        <w:t>The Gender Equality Network will</w:t>
      </w:r>
      <w:r w:rsidRPr="000E7424">
        <w:rPr>
          <w:rFonts w:ascii="Arial" w:hAnsi="Arial" w:cs="Arial"/>
        </w:rPr>
        <w:t xml:space="preserve"> drive improvements to the gender</w:t>
      </w:r>
      <w:r>
        <w:rPr>
          <w:rFonts w:ascii="Arial" w:hAnsi="Arial" w:cs="Arial"/>
        </w:rPr>
        <w:t xml:space="preserve"> and race</w:t>
      </w:r>
      <w:r w:rsidRPr="000E7424">
        <w:rPr>
          <w:rFonts w:ascii="Arial" w:hAnsi="Arial" w:cs="Arial"/>
        </w:rPr>
        <w:t xml:space="preserve"> pay gap as well as broader gender equality within the Trust.  Further details can be found in the attached appendix.</w:t>
      </w:r>
    </w:p>
    <w:p w14:paraId="469EAEE9" w14:textId="77777777" w:rsidR="00A36588" w:rsidRDefault="00A36588" w:rsidP="00A36588">
      <w:pPr>
        <w:tabs>
          <w:tab w:val="left" w:pos="9552"/>
        </w:tabs>
        <w:rPr>
          <w:rFonts w:ascii="Arial" w:hAnsi="Arial" w:cs="Arial"/>
        </w:rPr>
      </w:pPr>
    </w:p>
    <w:p w14:paraId="50A8FEE7" w14:textId="77777777" w:rsidR="00A36588" w:rsidRDefault="00A36588" w:rsidP="00A36588">
      <w:pPr>
        <w:tabs>
          <w:tab w:val="left" w:pos="9552"/>
        </w:tabs>
        <w:rPr>
          <w:rFonts w:ascii="Arial" w:hAnsi="Arial" w:cs="Arial"/>
          <w:b/>
        </w:rPr>
      </w:pPr>
    </w:p>
    <w:p w14:paraId="7E47D116" w14:textId="77777777" w:rsidR="00A36588" w:rsidRPr="000E7424" w:rsidRDefault="00A36588" w:rsidP="00A36588">
      <w:pPr>
        <w:tabs>
          <w:tab w:val="left" w:pos="9552"/>
        </w:tabs>
        <w:spacing w:after="0" w:line="240" w:lineRule="auto"/>
        <w:rPr>
          <w:rFonts w:ascii="Arial" w:hAnsi="Arial" w:cs="Arial"/>
          <w:b/>
        </w:rPr>
      </w:pPr>
      <w:r>
        <w:rPr>
          <w:rFonts w:ascii="Arial" w:hAnsi="Arial" w:cs="Arial"/>
          <w:b/>
        </w:rPr>
        <w:t xml:space="preserve">Lisa </w:t>
      </w:r>
      <w:proofErr w:type="spellStart"/>
      <w:r>
        <w:rPr>
          <w:rFonts w:ascii="Arial" w:hAnsi="Arial" w:cs="Arial"/>
          <w:b/>
        </w:rPr>
        <w:t>Fricker</w:t>
      </w:r>
      <w:proofErr w:type="spellEnd"/>
    </w:p>
    <w:p w14:paraId="242D2BC9" w14:textId="77777777" w:rsidR="00A36588" w:rsidRPr="000E7424" w:rsidRDefault="00A36588" w:rsidP="00A36588">
      <w:pPr>
        <w:tabs>
          <w:tab w:val="left" w:pos="9552"/>
        </w:tabs>
        <w:spacing w:after="0" w:line="240" w:lineRule="auto"/>
        <w:rPr>
          <w:rFonts w:ascii="Arial" w:hAnsi="Arial" w:cs="Arial"/>
          <w:b/>
          <w:bCs/>
        </w:rPr>
      </w:pPr>
      <w:r w:rsidRPr="000E7424">
        <w:rPr>
          <w:rFonts w:ascii="Arial" w:hAnsi="Arial" w:cs="Arial"/>
          <w:b/>
          <w:bCs/>
        </w:rPr>
        <w:t xml:space="preserve">Workforce/ESR and Payroll Manager </w:t>
      </w:r>
      <w:bookmarkStart w:id="3" w:name="_Int_tVlnB0Am"/>
      <w:r w:rsidRPr="000E7424">
        <w:rPr>
          <w:rFonts w:ascii="Arial" w:hAnsi="Arial" w:cs="Arial"/>
          <w:b/>
          <w:bCs/>
        </w:rPr>
        <w:t xml:space="preserve"> </w:t>
      </w:r>
      <w:bookmarkEnd w:id="3"/>
    </w:p>
    <w:p w14:paraId="73F57BFB" w14:textId="77777777" w:rsidR="00A36588" w:rsidRDefault="00A36588" w:rsidP="00A36588">
      <w:pPr>
        <w:tabs>
          <w:tab w:val="left" w:pos="9552"/>
        </w:tabs>
        <w:spacing w:after="0" w:line="240" w:lineRule="auto"/>
        <w:rPr>
          <w:rFonts w:ascii="Arial" w:hAnsi="Arial" w:cs="Arial"/>
          <w:b/>
          <w:bCs/>
        </w:rPr>
      </w:pPr>
    </w:p>
    <w:p w14:paraId="2BA254B4" w14:textId="77777777" w:rsidR="00A36588" w:rsidRPr="000E7424" w:rsidRDefault="00A36588" w:rsidP="00A36588">
      <w:pPr>
        <w:tabs>
          <w:tab w:val="left" w:pos="9552"/>
        </w:tabs>
        <w:spacing w:after="0" w:line="240" w:lineRule="auto"/>
        <w:rPr>
          <w:rFonts w:ascii="Arial" w:hAnsi="Arial" w:cs="Arial"/>
          <w:b/>
          <w:bCs/>
        </w:rPr>
      </w:pPr>
      <w:r w:rsidRPr="000E7424">
        <w:rPr>
          <w:rFonts w:ascii="Arial" w:hAnsi="Arial" w:cs="Arial"/>
          <w:b/>
          <w:bCs/>
        </w:rPr>
        <w:t>Lorraine H</w:t>
      </w:r>
      <w:r>
        <w:rPr>
          <w:rFonts w:ascii="Arial" w:hAnsi="Arial" w:cs="Arial"/>
          <w:b/>
          <w:bCs/>
        </w:rPr>
        <w:t>ammond</w:t>
      </w:r>
    </w:p>
    <w:p w14:paraId="0D98556F" w14:textId="77777777" w:rsidR="00A36588" w:rsidRDefault="00A36588" w:rsidP="00A36588">
      <w:pPr>
        <w:tabs>
          <w:tab w:val="left" w:pos="9552"/>
        </w:tabs>
        <w:spacing w:after="0" w:line="240" w:lineRule="auto"/>
        <w:rPr>
          <w:rFonts w:ascii="Arial" w:hAnsi="Arial" w:cs="Arial"/>
          <w:b/>
          <w:bCs/>
        </w:rPr>
      </w:pPr>
      <w:r w:rsidRPr="000E7424">
        <w:rPr>
          <w:rFonts w:ascii="Arial" w:hAnsi="Arial" w:cs="Arial"/>
          <w:b/>
          <w:bCs/>
        </w:rPr>
        <w:t>Director of Employee Experience</w:t>
      </w:r>
    </w:p>
    <w:p w14:paraId="28124736" w14:textId="77777777" w:rsidR="00A36588" w:rsidRDefault="00A36588" w:rsidP="00A36588">
      <w:pPr>
        <w:tabs>
          <w:tab w:val="left" w:pos="9552"/>
        </w:tabs>
        <w:spacing w:after="0" w:line="240" w:lineRule="auto"/>
        <w:rPr>
          <w:rFonts w:ascii="Arial" w:hAnsi="Arial" w:cs="Arial"/>
          <w:b/>
          <w:bCs/>
        </w:rPr>
      </w:pPr>
    </w:p>
    <w:p w14:paraId="6042ABD2" w14:textId="77777777" w:rsidR="00A36588" w:rsidRDefault="00A36588" w:rsidP="00A36588">
      <w:pPr>
        <w:tabs>
          <w:tab w:val="left" w:pos="9552"/>
        </w:tabs>
        <w:spacing w:after="0" w:line="240" w:lineRule="auto"/>
        <w:rPr>
          <w:rFonts w:ascii="Arial" w:hAnsi="Arial" w:cs="Arial"/>
          <w:b/>
          <w:bCs/>
        </w:rPr>
      </w:pPr>
    </w:p>
    <w:p w14:paraId="78C682E2" w14:textId="77777777" w:rsidR="00A36588" w:rsidRDefault="00A36588" w:rsidP="00A36588">
      <w:pPr>
        <w:tabs>
          <w:tab w:val="left" w:pos="9552"/>
        </w:tabs>
        <w:spacing w:after="0" w:line="240" w:lineRule="auto"/>
        <w:rPr>
          <w:rFonts w:ascii="Arial" w:hAnsi="Arial" w:cs="Arial"/>
          <w:b/>
          <w:bCs/>
        </w:rPr>
      </w:pPr>
      <w:r>
        <w:rPr>
          <w:rFonts w:ascii="Arial" w:hAnsi="Arial" w:cs="Arial"/>
          <w:b/>
          <w:bCs/>
        </w:rPr>
        <w:t>On behalf of</w:t>
      </w:r>
      <w:proofErr w:type="gramStart"/>
      <w:r>
        <w:rPr>
          <w:rFonts w:ascii="Arial" w:hAnsi="Arial" w:cs="Arial"/>
          <w:b/>
          <w:bCs/>
        </w:rPr>
        <w:t>:</w:t>
      </w:r>
      <w:proofErr w:type="gramEnd"/>
      <w:r>
        <w:rPr>
          <w:rFonts w:ascii="Arial" w:hAnsi="Arial" w:cs="Arial"/>
          <w:b/>
          <w:bCs/>
        </w:rPr>
        <w:br/>
      </w:r>
      <w:r>
        <w:rPr>
          <w:rFonts w:ascii="Arial" w:hAnsi="Arial" w:cs="Arial"/>
          <w:b/>
          <w:bCs/>
        </w:rPr>
        <w:br/>
        <w:t>Marcus Riddell</w:t>
      </w:r>
    </w:p>
    <w:p w14:paraId="72981202" w14:textId="77777777" w:rsidR="00A36588" w:rsidRDefault="00A36588" w:rsidP="00A36588">
      <w:pPr>
        <w:tabs>
          <w:tab w:val="left" w:pos="9552"/>
        </w:tabs>
        <w:spacing w:after="0" w:line="240" w:lineRule="auto"/>
        <w:rPr>
          <w:rFonts w:ascii="Arial" w:hAnsi="Arial" w:cs="Arial"/>
          <w:b/>
          <w:bCs/>
        </w:rPr>
      </w:pPr>
      <w:r>
        <w:rPr>
          <w:rFonts w:ascii="Arial" w:hAnsi="Arial" w:cs="Arial"/>
          <w:b/>
          <w:bCs/>
        </w:rPr>
        <w:t>Interim Chief People Officer</w:t>
      </w:r>
    </w:p>
    <w:p w14:paraId="4EF7C4F2" w14:textId="77777777" w:rsidR="00A36588" w:rsidRPr="000E7424" w:rsidRDefault="00A36588" w:rsidP="00A36588">
      <w:pPr>
        <w:tabs>
          <w:tab w:val="left" w:pos="9552"/>
        </w:tabs>
        <w:spacing w:after="0" w:line="240" w:lineRule="auto"/>
        <w:rPr>
          <w:rFonts w:ascii="Arial" w:hAnsi="Arial" w:cs="Arial"/>
          <w:b/>
          <w:bCs/>
        </w:rPr>
      </w:pPr>
    </w:p>
    <w:p w14:paraId="124B5940" w14:textId="08ABB7A7" w:rsidR="00A36588" w:rsidRPr="000E7424" w:rsidRDefault="00A36588" w:rsidP="00A36588">
      <w:pPr>
        <w:tabs>
          <w:tab w:val="left" w:pos="9552"/>
        </w:tabs>
        <w:rPr>
          <w:rFonts w:ascii="Arial" w:hAnsi="Arial" w:cs="Arial"/>
        </w:rPr>
      </w:pPr>
      <w:bookmarkStart w:id="4" w:name="_GoBack"/>
      <w:bookmarkEnd w:id="4"/>
      <w:r>
        <w:rPr>
          <w:rFonts w:ascii="Arial" w:hAnsi="Arial" w:cs="Arial"/>
          <w:b/>
          <w:bCs/>
        </w:rPr>
        <w:t>March 2024</w:t>
      </w:r>
    </w:p>
    <w:p w14:paraId="6FAB9DDA" w14:textId="77777777" w:rsidR="00A36588" w:rsidRPr="000E7424" w:rsidRDefault="00A36588" w:rsidP="00A36588">
      <w:pPr>
        <w:tabs>
          <w:tab w:val="left" w:pos="1837"/>
          <w:tab w:val="left" w:pos="9552"/>
        </w:tabs>
        <w:rPr>
          <w:rFonts w:ascii="Arial" w:hAnsi="Arial" w:cs="Arial"/>
        </w:rPr>
      </w:pPr>
    </w:p>
    <w:p w14:paraId="25D3977A" w14:textId="77777777" w:rsidR="00A36588" w:rsidRPr="000E7424" w:rsidRDefault="00A36588" w:rsidP="00A36588">
      <w:pPr>
        <w:tabs>
          <w:tab w:val="left" w:pos="1837"/>
          <w:tab w:val="left" w:pos="9552"/>
        </w:tabs>
        <w:rPr>
          <w:rFonts w:ascii="Arial" w:hAnsi="Arial" w:cs="Arial"/>
        </w:rPr>
      </w:pPr>
    </w:p>
    <w:p w14:paraId="4166F0B9" w14:textId="77777777" w:rsidR="00A36588" w:rsidRPr="000E7424" w:rsidRDefault="00A36588" w:rsidP="00A36588">
      <w:pPr>
        <w:tabs>
          <w:tab w:val="left" w:pos="1837"/>
          <w:tab w:val="left" w:pos="9552"/>
        </w:tabs>
        <w:rPr>
          <w:rFonts w:ascii="Arial" w:hAnsi="Arial" w:cs="Arial"/>
        </w:rPr>
      </w:pPr>
    </w:p>
    <w:p w14:paraId="252DB509" w14:textId="77777777" w:rsidR="00A36588" w:rsidRPr="000E7424" w:rsidRDefault="00A36588" w:rsidP="00A36588">
      <w:pPr>
        <w:tabs>
          <w:tab w:val="left" w:pos="1837"/>
          <w:tab w:val="left" w:pos="9552"/>
        </w:tabs>
        <w:rPr>
          <w:rFonts w:ascii="Arial" w:hAnsi="Arial" w:cs="Arial"/>
        </w:rPr>
      </w:pPr>
    </w:p>
    <w:p w14:paraId="6586ED37" w14:textId="77777777" w:rsidR="00A36588" w:rsidRPr="000E7424" w:rsidRDefault="00A36588" w:rsidP="00A36588">
      <w:pPr>
        <w:tabs>
          <w:tab w:val="left" w:pos="1837"/>
          <w:tab w:val="left" w:pos="9552"/>
        </w:tabs>
        <w:rPr>
          <w:rFonts w:ascii="Arial" w:hAnsi="Arial" w:cs="Arial"/>
        </w:rPr>
      </w:pPr>
    </w:p>
    <w:p w14:paraId="044733BF" w14:textId="77777777" w:rsidR="00A36588" w:rsidRPr="000E7424" w:rsidRDefault="00A36588" w:rsidP="00A36588">
      <w:pPr>
        <w:tabs>
          <w:tab w:val="left" w:pos="1837"/>
          <w:tab w:val="left" w:pos="9552"/>
        </w:tabs>
        <w:rPr>
          <w:rFonts w:ascii="Arial" w:hAnsi="Arial" w:cs="Arial"/>
        </w:rPr>
      </w:pPr>
    </w:p>
    <w:p w14:paraId="3A98D4EB" w14:textId="77777777" w:rsidR="00A36588" w:rsidRPr="000E7424" w:rsidRDefault="00A36588" w:rsidP="00A36588">
      <w:pPr>
        <w:tabs>
          <w:tab w:val="left" w:pos="1837"/>
          <w:tab w:val="left" w:pos="9552"/>
        </w:tabs>
        <w:rPr>
          <w:rFonts w:ascii="Arial" w:hAnsi="Arial" w:cs="Arial"/>
        </w:rPr>
      </w:pPr>
    </w:p>
    <w:p w14:paraId="142D0D7F" w14:textId="1AA8C75C" w:rsidR="00A36588" w:rsidRPr="000E7424" w:rsidRDefault="00A36588" w:rsidP="00A36588">
      <w:pPr>
        <w:spacing w:after="0" w:line="240" w:lineRule="auto"/>
        <w:rPr>
          <w:rFonts w:ascii="Arial" w:hAnsi="Arial" w:cs="Arial"/>
          <w:sz w:val="16"/>
          <w:szCs w:val="16"/>
        </w:rPr>
      </w:pPr>
    </w:p>
    <w:p w14:paraId="1644E731" w14:textId="77777777" w:rsidR="007D47A8" w:rsidRDefault="007D47A8">
      <w:pPr>
        <w:rPr>
          <w:rFonts w:ascii="Arial" w:eastAsia="Verdana" w:hAnsi="Arial" w:cs="Arial"/>
          <w:sz w:val="20"/>
          <w:szCs w:val="20"/>
          <w:lang w:val="en-US"/>
        </w:rPr>
        <w:sectPr w:rsidR="007D47A8" w:rsidSect="00713437">
          <w:footerReference w:type="default" r:id="rId19"/>
          <w:pgSz w:w="11906" w:h="16838"/>
          <w:pgMar w:top="993" w:right="720" w:bottom="426" w:left="720" w:header="567" w:footer="443" w:gutter="0"/>
          <w:cols w:space="708"/>
          <w:docGrid w:linePitch="360"/>
        </w:sectPr>
      </w:pPr>
    </w:p>
    <w:p w14:paraId="3999E1D7" w14:textId="0CCBAEAA" w:rsidR="007D47A8" w:rsidRDefault="007D47A8">
      <w:pPr>
        <w:rPr>
          <w:rFonts w:ascii="Arial" w:eastAsia="Verdana" w:hAnsi="Arial" w:cs="Arial"/>
          <w:sz w:val="20"/>
          <w:szCs w:val="20"/>
          <w:lang w:val="en-US"/>
        </w:rPr>
      </w:pPr>
      <w:r>
        <w:rPr>
          <w:noProof/>
          <w:lang w:eastAsia="en-GB"/>
        </w:rPr>
        <w:lastRenderedPageBreak/>
        <mc:AlternateContent>
          <mc:Choice Requires="wps">
            <w:drawing>
              <wp:anchor distT="0" distB="0" distL="114300" distR="114300" simplePos="0" relativeHeight="251672576" behindDoc="1" locked="0" layoutInCell="1" allowOverlap="1" wp14:anchorId="5ECD1782" wp14:editId="5FBE134F">
                <wp:simplePos x="0" y="0"/>
                <wp:positionH relativeFrom="page">
                  <wp:posOffset>6350</wp:posOffset>
                </wp:positionH>
                <wp:positionV relativeFrom="page">
                  <wp:posOffset>-6350</wp:posOffset>
                </wp:positionV>
                <wp:extent cx="7560310" cy="10692130"/>
                <wp:effectExtent l="0" t="0" r="254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7DC8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DA283" id="Rectangle 20" o:spid="_x0000_s1026" style="position:absolute;margin-left:.5pt;margin-top:-.5pt;width:595.3pt;height:84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" fillcolor="#7dc8ff" stroked="f">
                <w10:wrap anchorx="page" anchory="page"/>
              </v:rect>
            </w:pict>
          </mc:Fallback>
        </mc:AlternateContent>
      </w:r>
    </w:p>
    <w:p w14:paraId="064F8DD6" w14:textId="7CF8755D" w:rsidR="00F45629" w:rsidRPr="000E7424" w:rsidRDefault="007D47A8" w:rsidP="00A36588">
      <w:pPr>
        <w:pStyle w:val="BodyText"/>
        <w:tabs>
          <w:tab w:val="left" w:pos="9552"/>
        </w:tabs>
        <w:ind w:left="-567"/>
        <w:rPr>
          <w:rFonts w:ascii="Arial" w:hAnsi="Arial" w:cs="Arial"/>
        </w:rPr>
      </w:pPr>
      <w:r>
        <w:rPr>
          <w:noProof/>
          <w:lang w:val="en-GB" w:eastAsia="en-GB"/>
        </w:rPr>
        <mc:AlternateContent>
          <mc:Choice Requires="wps">
            <w:drawing>
              <wp:anchor distT="91440" distB="91440" distL="114300" distR="114300" simplePos="0" relativeHeight="251670528" behindDoc="0" locked="0" layoutInCell="1" allowOverlap="1" wp14:anchorId="12A29314" wp14:editId="71D7F534">
                <wp:simplePos x="0" y="0"/>
                <wp:positionH relativeFrom="page">
                  <wp:posOffset>374650</wp:posOffset>
                </wp:positionH>
                <wp:positionV relativeFrom="paragraph">
                  <wp:posOffset>1259205</wp:posOffset>
                </wp:positionV>
                <wp:extent cx="32702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03985"/>
                        </a:xfrm>
                        <a:prstGeom prst="rect">
                          <a:avLst/>
                        </a:prstGeom>
                        <a:noFill/>
                        <a:ln w="9525">
                          <a:noFill/>
                          <a:miter lim="800000"/>
                          <a:headEnd/>
                          <a:tailEnd/>
                        </a:ln>
                      </wps:spPr>
                      <wps:txbx>
                        <w:txbxContent>
                          <w:p w14:paraId="765E70D0" w14:textId="0CDD8196" w:rsid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Essex Partnership University NHS Foundation Trust</w:t>
                            </w:r>
                          </w:p>
                          <w:p w14:paraId="28C106B3"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p>
                          <w:p w14:paraId="3FFDD081"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 xml:space="preserve">Trust Head Office </w:t>
                            </w:r>
                          </w:p>
                          <w:p w14:paraId="0734BBA2"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 xml:space="preserve">The Lodge </w:t>
                            </w:r>
                          </w:p>
                          <w:p w14:paraId="0D0EF65E"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Lodge Approach</w:t>
                            </w:r>
                          </w:p>
                          <w:p w14:paraId="120E36B0"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proofErr w:type="spellStart"/>
                            <w:r w:rsidRPr="007D47A8">
                              <w:rPr>
                                <w:rFonts w:ascii="Verdana" w:hAnsi="Verdana"/>
                                <w:b/>
                                <w:i/>
                                <w:iCs/>
                                <w:color w:val="005EB8"/>
                                <w:sz w:val="24"/>
                                <w:szCs w:val="24"/>
                              </w:rPr>
                              <w:t>Runwell</w:t>
                            </w:r>
                            <w:proofErr w:type="spellEnd"/>
                            <w:r w:rsidRPr="007D47A8">
                              <w:rPr>
                                <w:rFonts w:ascii="Verdana" w:hAnsi="Verdana"/>
                                <w:b/>
                                <w:i/>
                                <w:iCs/>
                                <w:color w:val="005EB8"/>
                                <w:sz w:val="24"/>
                                <w:szCs w:val="24"/>
                              </w:rPr>
                              <w:t xml:space="preserve"> </w:t>
                            </w:r>
                          </w:p>
                          <w:p w14:paraId="4654BCCD"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proofErr w:type="spellStart"/>
                            <w:r w:rsidRPr="007D47A8">
                              <w:rPr>
                                <w:rFonts w:ascii="Verdana" w:hAnsi="Verdana"/>
                                <w:b/>
                                <w:i/>
                                <w:iCs/>
                                <w:color w:val="005EB8"/>
                                <w:sz w:val="24"/>
                                <w:szCs w:val="24"/>
                              </w:rPr>
                              <w:t>Wickford</w:t>
                            </w:r>
                            <w:proofErr w:type="spellEnd"/>
                          </w:p>
                          <w:p w14:paraId="3BDBED86"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Essex SS11 7XX</w:t>
                            </w:r>
                          </w:p>
                          <w:p w14:paraId="7F33FA7A" w14:textId="77777777" w:rsidR="007D47A8" w:rsidRPr="00A903F8" w:rsidRDefault="007D47A8" w:rsidP="007D47A8">
                            <w:pPr>
                              <w:pBdr>
                                <w:top w:val="single" w:sz="24" w:space="8" w:color="4F81BD" w:themeColor="accent1"/>
                                <w:bottom w:val="single" w:sz="24" w:space="8" w:color="4F81BD" w:themeColor="accent1"/>
                              </w:pBdr>
                              <w:rPr>
                                <w:b/>
                                <w:i/>
                                <w:iCs/>
                                <w:color w:val="005EB8"/>
                                <w:sz w:val="24"/>
                                <w:szCs w:val="24"/>
                              </w:rPr>
                            </w:pPr>
                          </w:p>
                          <w:p w14:paraId="081D217F" w14:textId="77777777" w:rsidR="007D47A8" w:rsidRPr="00D37ACB" w:rsidRDefault="007D47A8" w:rsidP="007D47A8">
                            <w:pPr>
                              <w:pBdr>
                                <w:top w:val="single" w:sz="24" w:space="8" w:color="4F81BD" w:themeColor="accent1"/>
                                <w:bottom w:val="single" w:sz="24" w:space="8" w:color="4F81BD" w:themeColor="accent1"/>
                              </w:pBdr>
                              <w:rPr>
                                <w:b/>
                                <w:i/>
                                <w:iCs/>
                                <w:color w:val="FFFFFF" w:themeColor="background1"/>
                                <w:sz w:val="24"/>
                              </w:rPr>
                            </w:pPr>
                            <w:r w:rsidRPr="00A903F8">
                              <w:rPr>
                                <w:b/>
                                <w:i/>
                                <w:iCs/>
                                <w:color w:val="005EB8"/>
                                <w:sz w:val="24"/>
                                <w:szCs w:val="24"/>
                              </w:rPr>
                              <w:t xml:space="preserve">Tel: </w:t>
                            </w:r>
                            <w:r w:rsidRPr="00D37ACB">
                              <w:rPr>
                                <w:b/>
                                <w:i/>
                                <w:iCs/>
                                <w:color w:val="005EB8"/>
                                <w:sz w:val="24"/>
                                <w:szCs w:val="24"/>
                              </w:rPr>
                              <w:t>0300 123 0808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29314" id="_x0000_s1028" type="#_x0000_t202" style="position:absolute;left:0;text-align:left;margin-left:29.5pt;margin-top:99.15pt;width:257.5pt;height:110.55pt;z-index:2516705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" filled="f" stroked="f">
                <v:textbox style="mso-fit-shape-to-text:t">
                  <w:txbxContent>
                    <w:p w14:paraId="765E70D0" w14:textId="0CDD8196" w:rsid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Essex Partnership University NHS Foundation Trust</w:t>
                      </w:r>
                    </w:p>
                    <w:p w14:paraId="28C106B3"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p>
                    <w:p w14:paraId="3FFDD081"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 xml:space="preserve">Trust Head Office </w:t>
                      </w:r>
                    </w:p>
                    <w:p w14:paraId="0734BBA2"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 xml:space="preserve">The Lodge </w:t>
                      </w:r>
                    </w:p>
                    <w:p w14:paraId="0D0EF65E"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Lodge Approach</w:t>
                      </w:r>
                    </w:p>
                    <w:p w14:paraId="120E36B0"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proofErr w:type="spellStart"/>
                      <w:r w:rsidRPr="007D47A8">
                        <w:rPr>
                          <w:rFonts w:ascii="Verdana" w:hAnsi="Verdana"/>
                          <w:b/>
                          <w:i/>
                          <w:iCs/>
                          <w:color w:val="005EB8"/>
                          <w:sz w:val="24"/>
                          <w:szCs w:val="24"/>
                        </w:rPr>
                        <w:t>Runwell</w:t>
                      </w:r>
                      <w:proofErr w:type="spellEnd"/>
                      <w:r w:rsidRPr="007D47A8">
                        <w:rPr>
                          <w:rFonts w:ascii="Verdana" w:hAnsi="Verdana"/>
                          <w:b/>
                          <w:i/>
                          <w:iCs/>
                          <w:color w:val="005EB8"/>
                          <w:sz w:val="24"/>
                          <w:szCs w:val="24"/>
                        </w:rPr>
                        <w:t xml:space="preserve"> </w:t>
                      </w:r>
                    </w:p>
                    <w:p w14:paraId="4654BCCD"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proofErr w:type="spellStart"/>
                      <w:r w:rsidRPr="007D47A8">
                        <w:rPr>
                          <w:rFonts w:ascii="Verdana" w:hAnsi="Verdana"/>
                          <w:b/>
                          <w:i/>
                          <w:iCs/>
                          <w:color w:val="005EB8"/>
                          <w:sz w:val="24"/>
                          <w:szCs w:val="24"/>
                        </w:rPr>
                        <w:t>Wickford</w:t>
                      </w:r>
                      <w:proofErr w:type="spellEnd"/>
                    </w:p>
                    <w:p w14:paraId="3BDBED86" w14:textId="77777777" w:rsidR="007D47A8" w:rsidRPr="007D47A8" w:rsidRDefault="007D47A8" w:rsidP="007D47A8">
                      <w:pPr>
                        <w:pBdr>
                          <w:top w:val="single" w:sz="24" w:space="8" w:color="4F81BD" w:themeColor="accent1"/>
                          <w:bottom w:val="single" w:sz="24" w:space="8" w:color="4F81BD" w:themeColor="accent1"/>
                        </w:pBdr>
                        <w:spacing w:after="0" w:line="240" w:lineRule="auto"/>
                        <w:rPr>
                          <w:rFonts w:ascii="Verdana" w:hAnsi="Verdana"/>
                          <w:b/>
                          <w:i/>
                          <w:iCs/>
                          <w:color w:val="005EB8"/>
                          <w:sz w:val="24"/>
                          <w:szCs w:val="24"/>
                        </w:rPr>
                      </w:pPr>
                      <w:r w:rsidRPr="007D47A8">
                        <w:rPr>
                          <w:rFonts w:ascii="Verdana" w:hAnsi="Verdana"/>
                          <w:b/>
                          <w:i/>
                          <w:iCs/>
                          <w:color w:val="005EB8"/>
                          <w:sz w:val="24"/>
                          <w:szCs w:val="24"/>
                        </w:rPr>
                        <w:t>Essex SS11 7XX</w:t>
                      </w:r>
                    </w:p>
                    <w:p w14:paraId="7F33FA7A" w14:textId="77777777" w:rsidR="007D47A8" w:rsidRPr="00A903F8" w:rsidRDefault="007D47A8" w:rsidP="007D47A8">
                      <w:pPr>
                        <w:pBdr>
                          <w:top w:val="single" w:sz="24" w:space="8" w:color="4F81BD" w:themeColor="accent1"/>
                          <w:bottom w:val="single" w:sz="24" w:space="8" w:color="4F81BD" w:themeColor="accent1"/>
                        </w:pBdr>
                        <w:rPr>
                          <w:b/>
                          <w:i/>
                          <w:iCs/>
                          <w:color w:val="005EB8"/>
                          <w:sz w:val="24"/>
                          <w:szCs w:val="24"/>
                        </w:rPr>
                      </w:pPr>
                    </w:p>
                    <w:p w14:paraId="081D217F" w14:textId="77777777" w:rsidR="007D47A8" w:rsidRPr="00D37ACB" w:rsidRDefault="007D47A8" w:rsidP="007D47A8">
                      <w:pPr>
                        <w:pBdr>
                          <w:top w:val="single" w:sz="24" w:space="8" w:color="4F81BD" w:themeColor="accent1"/>
                          <w:bottom w:val="single" w:sz="24" w:space="8" w:color="4F81BD" w:themeColor="accent1"/>
                        </w:pBdr>
                        <w:rPr>
                          <w:b/>
                          <w:i/>
                          <w:iCs/>
                          <w:color w:val="FFFFFF" w:themeColor="background1"/>
                          <w:sz w:val="24"/>
                        </w:rPr>
                      </w:pPr>
                      <w:r w:rsidRPr="00A903F8">
                        <w:rPr>
                          <w:b/>
                          <w:i/>
                          <w:iCs/>
                          <w:color w:val="005EB8"/>
                          <w:sz w:val="24"/>
                          <w:szCs w:val="24"/>
                        </w:rPr>
                        <w:t xml:space="preserve">Tel: </w:t>
                      </w:r>
                      <w:r w:rsidRPr="00D37ACB">
                        <w:rPr>
                          <w:b/>
                          <w:i/>
                          <w:iCs/>
                          <w:color w:val="005EB8"/>
                          <w:sz w:val="24"/>
                          <w:szCs w:val="24"/>
                        </w:rPr>
                        <w:t>0300 123 0808</w:t>
                      </w:r>
                    </w:p>
                  </w:txbxContent>
                </v:textbox>
                <w10:wrap type="topAndBottom" anchorx="page"/>
              </v:shape>
            </w:pict>
          </mc:Fallback>
        </mc:AlternateContent>
      </w:r>
    </w:p>
    <w:sectPr w:rsidR="00F45629" w:rsidRPr="000E7424" w:rsidSect="00713437">
      <w:pgSz w:w="11906" w:h="16838"/>
      <w:pgMar w:top="993" w:right="720" w:bottom="426" w:left="720" w:header="567" w:footer="44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25BD3A" w16cex:dateUtc="2024-01-17T19:56:17.084Z"/>
  <w16cex:commentExtensible w16cex:durableId="60363E72" w16cex:dateUtc="2024-01-18T10:18:00.369Z"/>
</w16cex:commentsExtensible>
</file>

<file path=word/commentsIds.xml><?xml version="1.0" encoding="utf-8"?>
<w16cid:commentsIds xmlns:mc="http://schemas.openxmlformats.org/markup-compatibility/2006" xmlns:w16cid="http://schemas.microsoft.com/office/word/2016/wordml/cid" mc:Ignorable="w16cid">
  <w16cid:commentId w16cid:paraId="1ACBB17F" w16cid:durableId="2325BD3A"/>
  <w16cid:commentId w16cid:paraId="181660E4" w16cid:durableId="60363E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55AD" w14:textId="77777777" w:rsidR="00F45629" w:rsidRDefault="00F45629" w:rsidP="00F91EA6">
      <w:pPr>
        <w:spacing w:after="0" w:line="240" w:lineRule="auto"/>
      </w:pPr>
      <w:r>
        <w:separator/>
      </w:r>
    </w:p>
  </w:endnote>
  <w:endnote w:type="continuationSeparator" w:id="0">
    <w:p w14:paraId="1A965116" w14:textId="77777777" w:rsidR="00F45629" w:rsidRDefault="00F45629" w:rsidP="00F9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156657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36E90C6" w14:textId="7C7D6FD8" w:rsidR="0057153E" w:rsidRPr="00CE1B9F" w:rsidRDefault="00C07194">
            <w:pPr>
              <w:pStyle w:val="Footer"/>
              <w:jc w:val="center"/>
              <w:rPr>
                <w:rFonts w:ascii="Arial" w:hAnsi="Arial" w:cs="Arial"/>
                <w:sz w:val="20"/>
                <w:szCs w:val="20"/>
              </w:rPr>
            </w:pPr>
            <w:r w:rsidRPr="00CE1B9F">
              <w:rPr>
                <w:rFonts w:ascii="Arial" w:hAnsi="Arial" w:cs="Arial"/>
                <w:sz w:val="20"/>
                <w:szCs w:val="20"/>
              </w:rPr>
              <w:t xml:space="preserve">Page </w:t>
            </w:r>
            <w:r w:rsidRPr="00CE1B9F">
              <w:rPr>
                <w:rFonts w:ascii="Arial" w:hAnsi="Arial" w:cs="Arial"/>
                <w:bCs/>
                <w:sz w:val="20"/>
                <w:szCs w:val="20"/>
              </w:rPr>
              <w:fldChar w:fldCharType="begin"/>
            </w:r>
            <w:r w:rsidRPr="00CE1B9F">
              <w:rPr>
                <w:rFonts w:ascii="Arial" w:hAnsi="Arial" w:cs="Arial"/>
                <w:bCs/>
                <w:sz w:val="20"/>
                <w:szCs w:val="20"/>
              </w:rPr>
              <w:instrText xml:space="preserve"> PAGE </w:instrText>
            </w:r>
            <w:r w:rsidRPr="00CE1B9F">
              <w:rPr>
                <w:rFonts w:ascii="Arial" w:hAnsi="Arial" w:cs="Arial"/>
                <w:bCs/>
                <w:sz w:val="20"/>
                <w:szCs w:val="20"/>
              </w:rPr>
              <w:fldChar w:fldCharType="separate"/>
            </w:r>
            <w:r>
              <w:rPr>
                <w:rFonts w:ascii="Arial" w:hAnsi="Arial" w:cs="Arial"/>
                <w:bCs/>
                <w:noProof/>
                <w:sz w:val="20"/>
                <w:szCs w:val="20"/>
              </w:rPr>
              <w:t>11</w:t>
            </w:r>
            <w:r w:rsidRPr="00CE1B9F">
              <w:rPr>
                <w:rFonts w:ascii="Arial" w:hAnsi="Arial" w:cs="Arial"/>
                <w:bCs/>
                <w:sz w:val="20"/>
                <w:szCs w:val="20"/>
              </w:rPr>
              <w:fldChar w:fldCharType="end"/>
            </w:r>
            <w:r w:rsidRPr="00CE1B9F">
              <w:rPr>
                <w:rFonts w:ascii="Arial" w:hAnsi="Arial" w:cs="Arial"/>
                <w:sz w:val="20"/>
                <w:szCs w:val="20"/>
              </w:rPr>
              <w:t xml:space="preserve"> of </w:t>
            </w:r>
            <w:r w:rsidRPr="00CE1B9F">
              <w:rPr>
                <w:rFonts w:ascii="Arial" w:hAnsi="Arial" w:cs="Arial"/>
                <w:bCs/>
                <w:sz w:val="20"/>
                <w:szCs w:val="20"/>
              </w:rPr>
              <w:fldChar w:fldCharType="begin"/>
            </w:r>
            <w:r w:rsidRPr="00CE1B9F">
              <w:rPr>
                <w:rFonts w:ascii="Arial" w:hAnsi="Arial" w:cs="Arial"/>
                <w:bCs/>
                <w:sz w:val="20"/>
                <w:szCs w:val="20"/>
              </w:rPr>
              <w:instrText xml:space="preserve"> NUMPAGES  </w:instrText>
            </w:r>
            <w:r w:rsidRPr="00CE1B9F">
              <w:rPr>
                <w:rFonts w:ascii="Arial" w:hAnsi="Arial" w:cs="Arial"/>
                <w:bCs/>
                <w:sz w:val="20"/>
                <w:szCs w:val="20"/>
              </w:rPr>
              <w:fldChar w:fldCharType="separate"/>
            </w:r>
            <w:r>
              <w:rPr>
                <w:rFonts w:ascii="Arial" w:hAnsi="Arial" w:cs="Arial"/>
                <w:bCs/>
                <w:noProof/>
                <w:sz w:val="20"/>
                <w:szCs w:val="20"/>
              </w:rPr>
              <w:t>12</w:t>
            </w:r>
            <w:r w:rsidRPr="00CE1B9F">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E37C" w14:textId="77777777" w:rsidR="00F45629" w:rsidRDefault="00F45629" w:rsidP="00F91EA6">
      <w:pPr>
        <w:spacing w:after="0" w:line="240" w:lineRule="auto"/>
      </w:pPr>
      <w:r>
        <w:separator/>
      </w:r>
    </w:p>
  </w:footnote>
  <w:footnote w:type="continuationSeparator" w:id="0">
    <w:p w14:paraId="44FB30F8" w14:textId="77777777" w:rsidR="00F45629" w:rsidRDefault="00F45629" w:rsidP="00F9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3DA2" w14:textId="77777777" w:rsidR="00F45629" w:rsidRDefault="00F45629" w:rsidP="00F45629">
    <w:pPr>
      <w:spacing w:before="86"/>
      <w:rPr>
        <w:b/>
        <w:sz w:val="18"/>
      </w:rPr>
    </w:pPr>
    <w:r>
      <w:rPr>
        <w:noProof/>
        <w:lang w:eastAsia="en-GB"/>
      </w:rPr>
      <mc:AlternateContent>
        <mc:Choice Requires="wps">
          <w:drawing>
            <wp:anchor distT="0" distB="0" distL="0" distR="0" simplePos="0" relativeHeight="251669504" behindDoc="1" locked="0" layoutInCell="1" allowOverlap="1" wp14:anchorId="3FD11F5D" wp14:editId="54AD04C1">
              <wp:simplePos x="0" y="0"/>
              <wp:positionH relativeFrom="page">
                <wp:posOffset>360045</wp:posOffset>
              </wp:positionH>
              <wp:positionV relativeFrom="paragraph">
                <wp:posOffset>226060</wp:posOffset>
              </wp:positionV>
              <wp:extent cx="1798320" cy="177165"/>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8320" cy="177165"/>
                      </a:xfrm>
                      <a:custGeom>
                        <a:avLst/>
                        <a:gdLst>
                          <a:gd name="T0" fmla="+- 0 567 567"/>
                          <a:gd name="T1" fmla="*/ T0 w 4836"/>
                          <a:gd name="T2" fmla="+- 0 5403 567"/>
                          <a:gd name="T3" fmla="*/ T2 w 4836"/>
                        </a:gdLst>
                        <a:ahLst/>
                        <a:cxnLst>
                          <a:cxn ang="0">
                            <a:pos x="T1" y="0"/>
                          </a:cxn>
                          <a:cxn ang="0">
                            <a:pos x="T3" y="0"/>
                          </a:cxn>
                        </a:cxnLst>
                        <a:rect l="0" t="0" r="r" b="b"/>
                        <a:pathLst>
                          <a:path w="4836">
                            <a:moveTo>
                              <a:pt x="0" y="0"/>
                            </a:moveTo>
                            <a:lnTo>
                              <a:pt x="4836" y="0"/>
                            </a:lnTo>
                          </a:path>
                        </a:pathLst>
                      </a:custGeom>
                      <a:noFill/>
                      <a:ln w="6350">
                        <a:solidFill>
                          <a:srgbClr val="005E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5EDB" id="Freeform 6" o:spid="_x0000_s1026" style="position:absolute;margin-left:28.35pt;margin-top:17.8pt;width:141.6pt;height:13.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6,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" path="m,l4836,e" filled="f" strokecolor="#005eb8" strokeweight=".5pt">
              <v:path arrowok="t" o:connecttype="custom" o:connectlocs="0,0;1798320,0" o:connectangles="0,0"/>
              <w10:wrap type="topAndBottom" anchorx="page"/>
            </v:shape>
          </w:pict>
        </mc:Fallback>
      </mc:AlternateContent>
    </w:r>
    <w:r>
      <w:rPr>
        <w:b/>
        <w:color w:val="005EB8"/>
        <w:sz w:val="18"/>
      </w:rPr>
      <w:t xml:space="preserve">  ANNUAL REPORT</w:t>
    </w:r>
    <w:r>
      <w:rPr>
        <w:b/>
        <w:color w:val="005EB8"/>
        <w:spacing w:val="3"/>
        <w:sz w:val="18"/>
      </w:rPr>
      <w:t xml:space="preserve"> </w:t>
    </w:r>
    <w:r>
      <w:rPr>
        <w:b/>
        <w:color w:val="005EB8"/>
        <w:sz w:val="18"/>
      </w:rPr>
      <w:t>2021-</w:t>
    </w:r>
    <w:r>
      <w:rPr>
        <w:b/>
        <w:color w:val="005EB8"/>
        <w:spacing w:val="-5"/>
        <w:sz w:val="18"/>
      </w:rPr>
      <w:t>22</w:t>
    </w:r>
  </w:p>
  <w:p w14:paraId="783C384E" w14:textId="77777777" w:rsidR="00F45629" w:rsidRDefault="00F45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B4B"/>
    <w:multiLevelType w:val="hybridMultilevel"/>
    <w:tmpl w:val="8FBEF2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44F705C"/>
    <w:multiLevelType w:val="hybridMultilevel"/>
    <w:tmpl w:val="9FFE762C"/>
    <w:lvl w:ilvl="0" w:tplc="103E7A02">
      <w:start w:val="1"/>
      <w:numFmt w:val="bullet"/>
      <w:lvlText w:val=""/>
      <w:lvlJc w:val="left"/>
      <w:pPr>
        <w:ind w:left="720" w:hanging="360"/>
      </w:pPr>
      <w:rPr>
        <w:rFonts w:ascii="Symbol" w:hAnsi="Symbol" w:hint="default"/>
      </w:rPr>
    </w:lvl>
    <w:lvl w:ilvl="1" w:tplc="3852138A">
      <w:start w:val="1"/>
      <w:numFmt w:val="bullet"/>
      <w:lvlText w:val="o"/>
      <w:lvlJc w:val="left"/>
      <w:pPr>
        <w:ind w:left="1440" w:hanging="360"/>
      </w:pPr>
      <w:rPr>
        <w:rFonts w:ascii="Courier New" w:hAnsi="Courier New" w:hint="default"/>
      </w:rPr>
    </w:lvl>
    <w:lvl w:ilvl="2" w:tplc="E5BE699E">
      <w:start w:val="1"/>
      <w:numFmt w:val="bullet"/>
      <w:lvlText w:val=""/>
      <w:lvlJc w:val="left"/>
      <w:pPr>
        <w:ind w:left="2160" w:hanging="360"/>
      </w:pPr>
      <w:rPr>
        <w:rFonts w:ascii="Wingdings" w:hAnsi="Wingdings" w:hint="default"/>
      </w:rPr>
    </w:lvl>
    <w:lvl w:ilvl="3" w:tplc="35FA04D4">
      <w:start w:val="1"/>
      <w:numFmt w:val="bullet"/>
      <w:lvlText w:val=""/>
      <w:lvlJc w:val="left"/>
      <w:pPr>
        <w:ind w:left="2880" w:hanging="360"/>
      </w:pPr>
      <w:rPr>
        <w:rFonts w:ascii="Symbol" w:hAnsi="Symbol" w:hint="default"/>
      </w:rPr>
    </w:lvl>
    <w:lvl w:ilvl="4" w:tplc="752A2774">
      <w:start w:val="1"/>
      <w:numFmt w:val="bullet"/>
      <w:lvlText w:val="o"/>
      <w:lvlJc w:val="left"/>
      <w:pPr>
        <w:ind w:left="3600" w:hanging="360"/>
      </w:pPr>
      <w:rPr>
        <w:rFonts w:ascii="Courier New" w:hAnsi="Courier New" w:hint="default"/>
      </w:rPr>
    </w:lvl>
    <w:lvl w:ilvl="5" w:tplc="F1E2EE1E">
      <w:start w:val="1"/>
      <w:numFmt w:val="bullet"/>
      <w:lvlText w:val=""/>
      <w:lvlJc w:val="left"/>
      <w:pPr>
        <w:ind w:left="4320" w:hanging="360"/>
      </w:pPr>
      <w:rPr>
        <w:rFonts w:ascii="Wingdings" w:hAnsi="Wingdings" w:hint="default"/>
      </w:rPr>
    </w:lvl>
    <w:lvl w:ilvl="6" w:tplc="B64635BC">
      <w:start w:val="1"/>
      <w:numFmt w:val="bullet"/>
      <w:lvlText w:val=""/>
      <w:lvlJc w:val="left"/>
      <w:pPr>
        <w:ind w:left="5040" w:hanging="360"/>
      </w:pPr>
      <w:rPr>
        <w:rFonts w:ascii="Symbol" w:hAnsi="Symbol" w:hint="default"/>
      </w:rPr>
    </w:lvl>
    <w:lvl w:ilvl="7" w:tplc="E00A5974">
      <w:start w:val="1"/>
      <w:numFmt w:val="bullet"/>
      <w:lvlText w:val="o"/>
      <w:lvlJc w:val="left"/>
      <w:pPr>
        <w:ind w:left="5760" w:hanging="360"/>
      </w:pPr>
      <w:rPr>
        <w:rFonts w:ascii="Courier New" w:hAnsi="Courier New" w:hint="default"/>
      </w:rPr>
    </w:lvl>
    <w:lvl w:ilvl="8" w:tplc="29C24676">
      <w:start w:val="1"/>
      <w:numFmt w:val="bullet"/>
      <w:lvlText w:val=""/>
      <w:lvlJc w:val="left"/>
      <w:pPr>
        <w:ind w:left="6480" w:hanging="360"/>
      </w:pPr>
      <w:rPr>
        <w:rFonts w:ascii="Wingdings" w:hAnsi="Wingdings" w:hint="default"/>
      </w:rPr>
    </w:lvl>
  </w:abstractNum>
  <w:abstractNum w:abstractNumId="2" w15:restartNumberingAfterBreak="0">
    <w:nsid w:val="14C75DB8"/>
    <w:multiLevelType w:val="hybridMultilevel"/>
    <w:tmpl w:val="54E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D5A0A"/>
    <w:multiLevelType w:val="hybridMultilevel"/>
    <w:tmpl w:val="F42A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18F6D"/>
    <w:multiLevelType w:val="hybridMultilevel"/>
    <w:tmpl w:val="39025B2E"/>
    <w:lvl w:ilvl="0" w:tplc="452AAEA4">
      <w:start w:val="1"/>
      <w:numFmt w:val="bullet"/>
      <w:lvlText w:val=""/>
      <w:lvlJc w:val="left"/>
      <w:pPr>
        <w:ind w:left="720" w:hanging="360"/>
      </w:pPr>
      <w:rPr>
        <w:rFonts w:ascii="Symbol" w:hAnsi="Symbol" w:hint="default"/>
      </w:rPr>
    </w:lvl>
    <w:lvl w:ilvl="1" w:tplc="6A76CF1E">
      <w:start w:val="1"/>
      <w:numFmt w:val="bullet"/>
      <w:lvlText w:val="o"/>
      <w:lvlJc w:val="left"/>
      <w:pPr>
        <w:ind w:left="1440" w:hanging="360"/>
      </w:pPr>
      <w:rPr>
        <w:rFonts w:ascii="Courier New" w:hAnsi="Courier New" w:hint="default"/>
      </w:rPr>
    </w:lvl>
    <w:lvl w:ilvl="2" w:tplc="4732DD74">
      <w:start w:val="1"/>
      <w:numFmt w:val="bullet"/>
      <w:lvlText w:val=""/>
      <w:lvlJc w:val="left"/>
      <w:pPr>
        <w:ind w:left="2160" w:hanging="360"/>
      </w:pPr>
      <w:rPr>
        <w:rFonts w:ascii="Wingdings" w:hAnsi="Wingdings" w:hint="default"/>
      </w:rPr>
    </w:lvl>
    <w:lvl w:ilvl="3" w:tplc="23B061A4">
      <w:start w:val="1"/>
      <w:numFmt w:val="bullet"/>
      <w:lvlText w:val=""/>
      <w:lvlJc w:val="left"/>
      <w:pPr>
        <w:ind w:left="2880" w:hanging="360"/>
      </w:pPr>
      <w:rPr>
        <w:rFonts w:ascii="Symbol" w:hAnsi="Symbol" w:hint="default"/>
      </w:rPr>
    </w:lvl>
    <w:lvl w:ilvl="4" w:tplc="4E580CB4">
      <w:start w:val="1"/>
      <w:numFmt w:val="bullet"/>
      <w:lvlText w:val="o"/>
      <w:lvlJc w:val="left"/>
      <w:pPr>
        <w:ind w:left="3600" w:hanging="360"/>
      </w:pPr>
      <w:rPr>
        <w:rFonts w:ascii="Courier New" w:hAnsi="Courier New" w:hint="default"/>
      </w:rPr>
    </w:lvl>
    <w:lvl w:ilvl="5" w:tplc="A7CA84BC">
      <w:start w:val="1"/>
      <w:numFmt w:val="bullet"/>
      <w:lvlText w:val=""/>
      <w:lvlJc w:val="left"/>
      <w:pPr>
        <w:ind w:left="4320" w:hanging="360"/>
      </w:pPr>
      <w:rPr>
        <w:rFonts w:ascii="Wingdings" w:hAnsi="Wingdings" w:hint="default"/>
      </w:rPr>
    </w:lvl>
    <w:lvl w:ilvl="6" w:tplc="94BC6400">
      <w:start w:val="1"/>
      <w:numFmt w:val="bullet"/>
      <w:lvlText w:val=""/>
      <w:lvlJc w:val="left"/>
      <w:pPr>
        <w:ind w:left="5040" w:hanging="360"/>
      </w:pPr>
      <w:rPr>
        <w:rFonts w:ascii="Symbol" w:hAnsi="Symbol" w:hint="default"/>
      </w:rPr>
    </w:lvl>
    <w:lvl w:ilvl="7" w:tplc="E134055E">
      <w:start w:val="1"/>
      <w:numFmt w:val="bullet"/>
      <w:lvlText w:val="o"/>
      <w:lvlJc w:val="left"/>
      <w:pPr>
        <w:ind w:left="5760" w:hanging="360"/>
      </w:pPr>
      <w:rPr>
        <w:rFonts w:ascii="Courier New" w:hAnsi="Courier New" w:hint="default"/>
      </w:rPr>
    </w:lvl>
    <w:lvl w:ilvl="8" w:tplc="313AFE9E">
      <w:start w:val="1"/>
      <w:numFmt w:val="bullet"/>
      <w:lvlText w:val=""/>
      <w:lvlJc w:val="left"/>
      <w:pPr>
        <w:ind w:left="6480" w:hanging="360"/>
      </w:pPr>
      <w:rPr>
        <w:rFonts w:ascii="Wingdings" w:hAnsi="Wingdings" w:hint="default"/>
      </w:rPr>
    </w:lvl>
  </w:abstractNum>
  <w:abstractNum w:abstractNumId="5" w15:restartNumberingAfterBreak="0">
    <w:nsid w:val="27ED8C7A"/>
    <w:multiLevelType w:val="hybridMultilevel"/>
    <w:tmpl w:val="ACD86BF8"/>
    <w:lvl w:ilvl="0" w:tplc="7A02179E">
      <w:start w:val="1"/>
      <w:numFmt w:val="bullet"/>
      <w:lvlText w:val=""/>
      <w:lvlJc w:val="left"/>
      <w:pPr>
        <w:ind w:left="720" w:hanging="360"/>
      </w:pPr>
      <w:rPr>
        <w:rFonts w:ascii="Symbol" w:hAnsi="Symbol" w:hint="default"/>
      </w:rPr>
    </w:lvl>
    <w:lvl w:ilvl="1" w:tplc="6074C9F2">
      <w:start w:val="1"/>
      <w:numFmt w:val="bullet"/>
      <w:lvlText w:val="o"/>
      <w:lvlJc w:val="left"/>
      <w:pPr>
        <w:ind w:left="1440" w:hanging="360"/>
      </w:pPr>
      <w:rPr>
        <w:rFonts w:ascii="Courier New" w:hAnsi="Courier New" w:hint="default"/>
      </w:rPr>
    </w:lvl>
    <w:lvl w:ilvl="2" w:tplc="C9C04B76">
      <w:start w:val="1"/>
      <w:numFmt w:val="bullet"/>
      <w:lvlText w:val=""/>
      <w:lvlJc w:val="left"/>
      <w:pPr>
        <w:ind w:left="2160" w:hanging="360"/>
      </w:pPr>
      <w:rPr>
        <w:rFonts w:ascii="Wingdings" w:hAnsi="Wingdings" w:hint="default"/>
      </w:rPr>
    </w:lvl>
    <w:lvl w:ilvl="3" w:tplc="7F204F74">
      <w:start w:val="1"/>
      <w:numFmt w:val="bullet"/>
      <w:lvlText w:val=""/>
      <w:lvlJc w:val="left"/>
      <w:pPr>
        <w:ind w:left="2880" w:hanging="360"/>
      </w:pPr>
      <w:rPr>
        <w:rFonts w:ascii="Symbol" w:hAnsi="Symbol" w:hint="default"/>
      </w:rPr>
    </w:lvl>
    <w:lvl w:ilvl="4" w:tplc="7A4AF24C">
      <w:start w:val="1"/>
      <w:numFmt w:val="bullet"/>
      <w:lvlText w:val="o"/>
      <w:lvlJc w:val="left"/>
      <w:pPr>
        <w:ind w:left="3600" w:hanging="360"/>
      </w:pPr>
      <w:rPr>
        <w:rFonts w:ascii="Courier New" w:hAnsi="Courier New" w:hint="default"/>
      </w:rPr>
    </w:lvl>
    <w:lvl w:ilvl="5" w:tplc="F0A0F1E0">
      <w:start w:val="1"/>
      <w:numFmt w:val="bullet"/>
      <w:lvlText w:val=""/>
      <w:lvlJc w:val="left"/>
      <w:pPr>
        <w:ind w:left="4320" w:hanging="360"/>
      </w:pPr>
      <w:rPr>
        <w:rFonts w:ascii="Wingdings" w:hAnsi="Wingdings" w:hint="default"/>
      </w:rPr>
    </w:lvl>
    <w:lvl w:ilvl="6" w:tplc="D00873FA">
      <w:start w:val="1"/>
      <w:numFmt w:val="bullet"/>
      <w:lvlText w:val=""/>
      <w:lvlJc w:val="left"/>
      <w:pPr>
        <w:ind w:left="5040" w:hanging="360"/>
      </w:pPr>
      <w:rPr>
        <w:rFonts w:ascii="Symbol" w:hAnsi="Symbol" w:hint="default"/>
      </w:rPr>
    </w:lvl>
    <w:lvl w:ilvl="7" w:tplc="D25A3BE0">
      <w:start w:val="1"/>
      <w:numFmt w:val="bullet"/>
      <w:lvlText w:val="o"/>
      <w:lvlJc w:val="left"/>
      <w:pPr>
        <w:ind w:left="5760" w:hanging="360"/>
      </w:pPr>
      <w:rPr>
        <w:rFonts w:ascii="Courier New" w:hAnsi="Courier New" w:hint="default"/>
      </w:rPr>
    </w:lvl>
    <w:lvl w:ilvl="8" w:tplc="93908476">
      <w:start w:val="1"/>
      <w:numFmt w:val="bullet"/>
      <w:lvlText w:val=""/>
      <w:lvlJc w:val="left"/>
      <w:pPr>
        <w:ind w:left="6480" w:hanging="360"/>
      </w:pPr>
      <w:rPr>
        <w:rFonts w:ascii="Wingdings" w:hAnsi="Wingdings" w:hint="default"/>
      </w:rPr>
    </w:lvl>
  </w:abstractNum>
  <w:abstractNum w:abstractNumId="6" w15:restartNumberingAfterBreak="0">
    <w:nsid w:val="2A54253D"/>
    <w:multiLevelType w:val="hybridMultilevel"/>
    <w:tmpl w:val="7EA28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013040"/>
    <w:multiLevelType w:val="multilevel"/>
    <w:tmpl w:val="23B095D8"/>
    <w:lvl w:ilvl="0">
      <w:start w:val="1"/>
      <w:numFmt w:val="decimal"/>
      <w:pStyle w:val="NumHeadTable"/>
      <w:lvlText w:val="%1"/>
      <w:lvlJc w:val="left"/>
      <w:pPr>
        <w:tabs>
          <w:tab w:val="num" w:pos="454"/>
        </w:tabs>
        <w:ind w:left="454" w:hanging="571"/>
      </w:pPr>
      <w:rPr>
        <w:rFonts w:hint="default"/>
      </w:rPr>
    </w:lvl>
    <w:lvl w:ilvl="1">
      <w:start w:val="1"/>
      <w:numFmt w:val="decimal"/>
      <w:pStyle w:val="NumTextTable"/>
      <w:lvlText w:val="%1.%2"/>
      <w:lvlJc w:val="left"/>
      <w:pPr>
        <w:tabs>
          <w:tab w:val="num" w:pos="573"/>
        </w:tabs>
        <w:ind w:left="573" w:hanging="57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54"/>
        </w:tabs>
        <w:ind w:left="454" w:hanging="573"/>
      </w:pPr>
      <w:rPr>
        <w:rFonts w:hint="default"/>
      </w:rPr>
    </w:lvl>
    <w:lvl w:ilvl="3">
      <w:start w:val="1"/>
      <w:numFmt w:val="decimal"/>
      <w:lvlText w:val="%1.%2.%3.%4."/>
      <w:lvlJc w:val="left"/>
      <w:pPr>
        <w:tabs>
          <w:tab w:val="num" w:pos="4419"/>
        </w:tabs>
        <w:ind w:left="2187" w:hanging="648"/>
      </w:pPr>
      <w:rPr>
        <w:rFonts w:hint="default"/>
      </w:rPr>
    </w:lvl>
    <w:lvl w:ilvl="4">
      <w:start w:val="1"/>
      <w:numFmt w:val="decimal"/>
      <w:lvlText w:val="%1.%2.%3.%4.%5."/>
      <w:lvlJc w:val="left"/>
      <w:pPr>
        <w:tabs>
          <w:tab w:val="num" w:pos="5499"/>
        </w:tabs>
        <w:ind w:left="2691" w:hanging="792"/>
      </w:pPr>
      <w:rPr>
        <w:rFonts w:hint="default"/>
      </w:rPr>
    </w:lvl>
    <w:lvl w:ilvl="5">
      <w:start w:val="1"/>
      <w:numFmt w:val="decimal"/>
      <w:lvlText w:val="%1.%2.%3.%4.%5.%6."/>
      <w:lvlJc w:val="left"/>
      <w:pPr>
        <w:tabs>
          <w:tab w:val="num" w:pos="6579"/>
        </w:tabs>
        <w:ind w:left="3195" w:hanging="936"/>
      </w:pPr>
      <w:rPr>
        <w:rFonts w:hint="default"/>
      </w:rPr>
    </w:lvl>
    <w:lvl w:ilvl="6">
      <w:start w:val="1"/>
      <w:numFmt w:val="decimal"/>
      <w:lvlText w:val="%1.%2.%3.%4.%5.%6.%7."/>
      <w:lvlJc w:val="left"/>
      <w:pPr>
        <w:tabs>
          <w:tab w:val="num" w:pos="7659"/>
        </w:tabs>
        <w:ind w:left="3699" w:hanging="1080"/>
      </w:pPr>
      <w:rPr>
        <w:rFonts w:hint="default"/>
      </w:rPr>
    </w:lvl>
    <w:lvl w:ilvl="7">
      <w:start w:val="1"/>
      <w:numFmt w:val="decimal"/>
      <w:lvlText w:val="%1.%2.%3.%4.%5.%6.%7.%8."/>
      <w:lvlJc w:val="left"/>
      <w:pPr>
        <w:tabs>
          <w:tab w:val="num" w:pos="8739"/>
        </w:tabs>
        <w:ind w:left="4203" w:hanging="1224"/>
      </w:pPr>
      <w:rPr>
        <w:rFonts w:hint="default"/>
      </w:rPr>
    </w:lvl>
    <w:lvl w:ilvl="8">
      <w:start w:val="1"/>
      <w:numFmt w:val="decimal"/>
      <w:lvlText w:val="%1.%2.%3.%4.%5.%6.%7.%8.%9."/>
      <w:lvlJc w:val="left"/>
      <w:pPr>
        <w:tabs>
          <w:tab w:val="num" w:pos="9819"/>
        </w:tabs>
        <w:ind w:left="4779" w:hanging="1440"/>
      </w:pPr>
      <w:rPr>
        <w:rFonts w:hint="default"/>
      </w:rPr>
    </w:lvl>
  </w:abstractNum>
  <w:abstractNum w:abstractNumId="8" w15:restartNumberingAfterBreak="0">
    <w:nsid w:val="2F557B0C"/>
    <w:multiLevelType w:val="hybridMultilevel"/>
    <w:tmpl w:val="BF26A240"/>
    <w:lvl w:ilvl="0" w:tplc="713C984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B7E6F"/>
    <w:multiLevelType w:val="hybridMultilevel"/>
    <w:tmpl w:val="9976B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80495"/>
    <w:multiLevelType w:val="hybridMultilevel"/>
    <w:tmpl w:val="D3169E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633B12B3"/>
    <w:multiLevelType w:val="hybridMultilevel"/>
    <w:tmpl w:val="FC5A8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3"/>
  </w:num>
  <w:num w:numId="7">
    <w:abstractNumId w:val="11"/>
  </w:num>
  <w:num w:numId="8">
    <w:abstractNumId w:val="2"/>
  </w:num>
  <w:num w:numId="9">
    <w:abstractNumId w:val="8"/>
  </w:num>
  <w:num w:numId="10">
    <w:abstractNumId w:val="9"/>
  </w:num>
  <w:num w:numId="11">
    <w:abstractNumId w:val="6"/>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57"/>
    <w:rsid w:val="00014604"/>
    <w:rsid w:val="00016C3F"/>
    <w:rsid w:val="0002013E"/>
    <w:rsid w:val="00021258"/>
    <w:rsid w:val="0003147F"/>
    <w:rsid w:val="00031F25"/>
    <w:rsid w:val="00037BCA"/>
    <w:rsid w:val="000404A1"/>
    <w:rsid w:val="000414F8"/>
    <w:rsid w:val="00051D47"/>
    <w:rsid w:val="00051FDB"/>
    <w:rsid w:val="000566B2"/>
    <w:rsid w:val="00070627"/>
    <w:rsid w:val="00082F4E"/>
    <w:rsid w:val="00087341"/>
    <w:rsid w:val="000904C2"/>
    <w:rsid w:val="000A07C8"/>
    <w:rsid w:val="000A1328"/>
    <w:rsid w:val="000A16A0"/>
    <w:rsid w:val="000A2A2D"/>
    <w:rsid w:val="000A6371"/>
    <w:rsid w:val="000E7424"/>
    <w:rsid w:val="001312FE"/>
    <w:rsid w:val="00131E4F"/>
    <w:rsid w:val="001324DF"/>
    <w:rsid w:val="00145EFE"/>
    <w:rsid w:val="00155702"/>
    <w:rsid w:val="00173E01"/>
    <w:rsid w:val="001766AC"/>
    <w:rsid w:val="00181C64"/>
    <w:rsid w:val="00182CBB"/>
    <w:rsid w:val="00196C13"/>
    <w:rsid w:val="001A1634"/>
    <w:rsid w:val="001B4BD9"/>
    <w:rsid w:val="001B5E86"/>
    <w:rsid w:val="001C5200"/>
    <w:rsid w:val="001C5622"/>
    <w:rsid w:val="001E0563"/>
    <w:rsid w:val="001E1E98"/>
    <w:rsid w:val="001F34CF"/>
    <w:rsid w:val="001F4AB0"/>
    <w:rsid w:val="0020441A"/>
    <w:rsid w:val="00212385"/>
    <w:rsid w:val="0023271D"/>
    <w:rsid w:val="0026263E"/>
    <w:rsid w:val="00267DB3"/>
    <w:rsid w:val="00280303"/>
    <w:rsid w:val="002845FE"/>
    <w:rsid w:val="002919D4"/>
    <w:rsid w:val="002B0432"/>
    <w:rsid w:val="002B08DF"/>
    <w:rsid w:val="002E1083"/>
    <w:rsid w:val="00302044"/>
    <w:rsid w:val="003076D7"/>
    <w:rsid w:val="00314BE5"/>
    <w:rsid w:val="00327936"/>
    <w:rsid w:val="003279DB"/>
    <w:rsid w:val="0036344C"/>
    <w:rsid w:val="00367225"/>
    <w:rsid w:val="00373570"/>
    <w:rsid w:val="00383576"/>
    <w:rsid w:val="00391FBC"/>
    <w:rsid w:val="00397A43"/>
    <w:rsid w:val="003A7888"/>
    <w:rsid w:val="003B30A6"/>
    <w:rsid w:val="003C1378"/>
    <w:rsid w:val="003C650A"/>
    <w:rsid w:val="003E6AE4"/>
    <w:rsid w:val="00411D45"/>
    <w:rsid w:val="004159CB"/>
    <w:rsid w:val="00426366"/>
    <w:rsid w:val="00436F55"/>
    <w:rsid w:val="00440196"/>
    <w:rsid w:val="00442E82"/>
    <w:rsid w:val="00447ADA"/>
    <w:rsid w:val="00461DB3"/>
    <w:rsid w:val="00462EA4"/>
    <w:rsid w:val="0047323E"/>
    <w:rsid w:val="00473638"/>
    <w:rsid w:val="0048504A"/>
    <w:rsid w:val="00487BDA"/>
    <w:rsid w:val="00490B7F"/>
    <w:rsid w:val="004A2DD0"/>
    <w:rsid w:val="004C3AE9"/>
    <w:rsid w:val="004E4663"/>
    <w:rsid w:val="004F5EFE"/>
    <w:rsid w:val="00513328"/>
    <w:rsid w:val="00513F9A"/>
    <w:rsid w:val="005309FE"/>
    <w:rsid w:val="00531546"/>
    <w:rsid w:val="005356F1"/>
    <w:rsid w:val="0059008A"/>
    <w:rsid w:val="005C0081"/>
    <w:rsid w:val="005C7C9A"/>
    <w:rsid w:val="005D0419"/>
    <w:rsid w:val="005E7F0C"/>
    <w:rsid w:val="005F4AD1"/>
    <w:rsid w:val="005F626C"/>
    <w:rsid w:val="006032A0"/>
    <w:rsid w:val="006038B6"/>
    <w:rsid w:val="00614D6D"/>
    <w:rsid w:val="0064029E"/>
    <w:rsid w:val="00656B9D"/>
    <w:rsid w:val="006656DE"/>
    <w:rsid w:val="00674C52"/>
    <w:rsid w:val="0068578B"/>
    <w:rsid w:val="00697ED8"/>
    <w:rsid w:val="006A0686"/>
    <w:rsid w:val="006B24D9"/>
    <w:rsid w:val="006C32E4"/>
    <w:rsid w:val="006C6CE7"/>
    <w:rsid w:val="006D1098"/>
    <w:rsid w:val="006D4091"/>
    <w:rsid w:val="006D5087"/>
    <w:rsid w:val="006F606C"/>
    <w:rsid w:val="006F6FCE"/>
    <w:rsid w:val="007015FA"/>
    <w:rsid w:val="00702129"/>
    <w:rsid w:val="00713437"/>
    <w:rsid w:val="00714106"/>
    <w:rsid w:val="007306AE"/>
    <w:rsid w:val="0073247A"/>
    <w:rsid w:val="00737B3D"/>
    <w:rsid w:val="007428B0"/>
    <w:rsid w:val="00743857"/>
    <w:rsid w:val="007556B0"/>
    <w:rsid w:val="007609F4"/>
    <w:rsid w:val="0078537A"/>
    <w:rsid w:val="0078782A"/>
    <w:rsid w:val="007A1BE8"/>
    <w:rsid w:val="007A1BFC"/>
    <w:rsid w:val="007A5712"/>
    <w:rsid w:val="007A6897"/>
    <w:rsid w:val="007A73BE"/>
    <w:rsid w:val="007C61E9"/>
    <w:rsid w:val="007D47A8"/>
    <w:rsid w:val="007E32E0"/>
    <w:rsid w:val="007E3EC9"/>
    <w:rsid w:val="007E77F0"/>
    <w:rsid w:val="007E7F88"/>
    <w:rsid w:val="00801B48"/>
    <w:rsid w:val="008027D6"/>
    <w:rsid w:val="008050E8"/>
    <w:rsid w:val="0081337E"/>
    <w:rsid w:val="008147D2"/>
    <w:rsid w:val="0082201A"/>
    <w:rsid w:val="00836642"/>
    <w:rsid w:val="00841C12"/>
    <w:rsid w:val="00847716"/>
    <w:rsid w:val="00862A86"/>
    <w:rsid w:val="00870840"/>
    <w:rsid w:val="0087193E"/>
    <w:rsid w:val="00892007"/>
    <w:rsid w:val="00896203"/>
    <w:rsid w:val="008B4DAE"/>
    <w:rsid w:val="008D381E"/>
    <w:rsid w:val="008D41C8"/>
    <w:rsid w:val="008E65D7"/>
    <w:rsid w:val="009026C8"/>
    <w:rsid w:val="00910325"/>
    <w:rsid w:val="009134EA"/>
    <w:rsid w:val="00920285"/>
    <w:rsid w:val="009327BB"/>
    <w:rsid w:val="00942AD2"/>
    <w:rsid w:val="00954925"/>
    <w:rsid w:val="00957C69"/>
    <w:rsid w:val="00963CCA"/>
    <w:rsid w:val="00972E2A"/>
    <w:rsid w:val="00975E07"/>
    <w:rsid w:val="00992008"/>
    <w:rsid w:val="009B1A9C"/>
    <w:rsid w:val="009C034B"/>
    <w:rsid w:val="009F11F3"/>
    <w:rsid w:val="009F3C3A"/>
    <w:rsid w:val="009F7546"/>
    <w:rsid w:val="009F7B75"/>
    <w:rsid w:val="00A03D92"/>
    <w:rsid w:val="00A069C9"/>
    <w:rsid w:val="00A277F2"/>
    <w:rsid w:val="00A36588"/>
    <w:rsid w:val="00A37DFB"/>
    <w:rsid w:val="00A439D1"/>
    <w:rsid w:val="00A44F31"/>
    <w:rsid w:val="00A47950"/>
    <w:rsid w:val="00A727FB"/>
    <w:rsid w:val="00A75CB2"/>
    <w:rsid w:val="00A9049A"/>
    <w:rsid w:val="00AA1A6E"/>
    <w:rsid w:val="00AA2A8E"/>
    <w:rsid w:val="00AD3D0A"/>
    <w:rsid w:val="00AF4F73"/>
    <w:rsid w:val="00B02140"/>
    <w:rsid w:val="00B26099"/>
    <w:rsid w:val="00B26E3C"/>
    <w:rsid w:val="00B4518F"/>
    <w:rsid w:val="00B663C9"/>
    <w:rsid w:val="00B733A9"/>
    <w:rsid w:val="00BA2AC1"/>
    <w:rsid w:val="00BA57D3"/>
    <w:rsid w:val="00BB4832"/>
    <w:rsid w:val="00BB6AE7"/>
    <w:rsid w:val="00BE1217"/>
    <w:rsid w:val="00BE126E"/>
    <w:rsid w:val="00BE1297"/>
    <w:rsid w:val="00BF24F2"/>
    <w:rsid w:val="00BF2CA6"/>
    <w:rsid w:val="00BF3997"/>
    <w:rsid w:val="00C06C8E"/>
    <w:rsid w:val="00C07194"/>
    <w:rsid w:val="00C12F4A"/>
    <w:rsid w:val="00C21E0C"/>
    <w:rsid w:val="00C2417A"/>
    <w:rsid w:val="00C3183F"/>
    <w:rsid w:val="00C5687C"/>
    <w:rsid w:val="00C636E7"/>
    <w:rsid w:val="00C64BAF"/>
    <w:rsid w:val="00C7E21B"/>
    <w:rsid w:val="00C81D00"/>
    <w:rsid w:val="00C946B4"/>
    <w:rsid w:val="00C94F1B"/>
    <w:rsid w:val="00C95631"/>
    <w:rsid w:val="00CA3236"/>
    <w:rsid w:val="00CC5EF1"/>
    <w:rsid w:val="00CE1B9F"/>
    <w:rsid w:val="00CE5C7C"/>
    <w:rsid w:val="00CE6450"/>
    <w:rsid w:val="00D0517E"/>
    <w:rsid w:val="00D2183D"/>
    <w:rsid w:val="00D22C21"/>
    <w:rsid w:val="00D42D05"/>
    <w:rsid w:val="00D46335"/>
    <w:rsid w:val="00D556B2"/>
    <w:rsid w:val="00D7537A"/>
    <w:rsid w:val="00D836A0"/>
    <w:rsid w:val="00D90BDD"/>
    <w:rsid w:val="00DB7061"/>
    <w:rsid w:val="00DB7263"/>
    <w:rsid w:val="00DC0BB6"/>
    <w:rsid w:val="00DC7ECD"/>
    <w:rsid w:val="00DD7209"/>
    <w:rsid w:val="00DE66AC"/>
    <w:rsid w:val="00DF1EEA"/>
    <w:rsid w:val="00DF5CB0"/>
    <w:rsid w:val="00DF7478"/>
    <w:rsid w:val="00E14686"/>
    <w:rsid w:val="00E15C18"/>
    <w:rsid w:val="00E17731"/>
    <w:rsid w:val="00E23364"/>
    <w:rsid w:val="00E31AEC"/>
    <w:rsid w:val="00E43F23"/>
    <w:rsid w:val="00E451B1"/>
    <w:rsid w:val="00E45D8F"/>
    <w:rsid w:val="00E64D83"/>
    <w:rsid w:val="00E811C9"/>
    <w:rsid w:val="00EA503A"/>
    <w:rsid w:val="00EB3C28"/>
    <w:rsid w:val="00EB59B1"/>
    <w:rsid w:val="00EC1A89"/>
    <w:rsid w:val="00EC42E6"/>
    <w:rsid w:val="00ED002D"/>
    <w:rsid w:val="00EF2280"/>
    <w:rsid w:val="00F00D99"/>
    <w:rsid w:val="00F02B29"/>
    <w:rsid w:val="00F33A6E"/>
    <w:rsid w:val="00F453BF"/>
    <w:rsid w:val="00F45629"/>
    <w:rsid w:val="00F47A41"/>
    <w:rsid w:val="00F50B0E"/>
    <w:rsid w:val="00F61E2B"/>
    <w:rsid w:val="00F66BA2"/>
    <w:rsid w:val="00F70CF8"/>
    <w:rsid w:val="00F752C5"/>
    <w:rsid w:val="00F76870"/>
    <w:rsid w:val="00F91EA6"/>
    <w:rsid w:val="00F92F03"/>
    <w:rsid w:val="00FA5296"/>
    <w:rsid w:val="00FB6C36"/>
    <w:rsid w:val="00FB6F66"/>
    <w:rsid w:val="00FC310D"/>
    <w:rsid w:val="00FD3529"/>
    <w:rsid w:val="01076964"/>
    <w:rsid w:val="024324D6"/>
    <w:rsid w:val="03CD7A5C"/>
    <w:rsid w:val="04826D7E"/>
    <w:rsid w:val="06A1A6AE"/>
    <w:rsid w:val="08A91AC1"/>
    <w:rsid w:val="09127B49"/>
    <w:rsid w:val="0A4C1410"/>
    <w:rsid w:val="0AAE4BAA"/>
    <w:rsid w:val="0BB450DD"/>
    <w:rsid w:val="0C31D05A"/>
    <w:rsid w:val="0C4A1C0B"/>
    <w:rsid w:val="0CD3D718"/>
    <w:rsid w:val="0D1D67FD"/>
    <w:rsid w:val="0DAEDCB0"/>
    <w:rsid w:val="0DCCD4FD"/>
    <w:rsid w:val="0DE5EC6C"/>
    <w:rsid w:val="0F89AA53"/>
    <w:rsid w:val="111D8D2E"/>
    <w:rsid w:val="11257AB4"/>
    <w:rsid w:val="14552DF0"/>
    <w:rsid w:val="196C6712"/>
    <w:rsid w:val="1974F62A"/>
    <w:rsid w:val="1ACC5CFA"/>
    <w:rsid w:val="1AD01241"/>
    <w:rsid w:val="1ADFCD78"/>
    <w:rsid w:val="1C682D5B"/>
    <w:rsid w:val="1D941F9B"/>
    <w:rsid w:val="1F1A0E24"/>
    <w:rsid w:val="2251AEE6"/>
    <w:rsid w:val="22763C7A"/>
    <w:rsid w:val="23451243"/>
    <w:rsid w:val="2772F287"/>
    <w:rsid w:val="2AC870E4"/>
    <w:rsid w:val="2AE6830C"/>
    <w:rsid w:val="2D62DB45"/>
    <w:rsid w:val="2DCD1894"/>
    <w:rsid w:val="30D3EFD5"/>
    <w:rsid w:val="322C5CDE"/>
    <w:rsid w:val="35776E1E"/>
    <w:rsid w:val="35A760F8"/>
    <w:rsid w:val="35F4A34D"/>
    <w:rsid w:val="368326EC"/>
    <w:rsid w:val="376C4DF4"/>
    <w:rsid w:val="37E2F011"/>
    <w:rsid w:val="395F09D4"/>
    <w:rsid w:val="3CD8B92E"/>
    <w:rsid w:val="3D6F0F85"/>
    <w:rsid w:val="40460F3E"/>
    <w:rsid w:val="4155C3B8"/>
    <w:rsid w:val="448CFFD3"/>
    <w:rsid w:val="44A905D7"/>
    <w:rsid w:val="493E596F"/>
    <w:rsid w:val="498C5CC2"/>
    <w:rsid w:val="4A331E06"/>
    <w:rsid w:val="51DAD1FF"/>
    <w:rsid w:val="526078D6"/>
    <w:rsid w:val="536FBF5A"/>
    <w:rsid w:val="54697A94"/>
    <w:rsid w:val="56AAAA54"/>
    <w:rsid w:val="5819DB5B"/>
    <w:rsid w:val="5D864695"/>
    <w:rsid w:val="6013386D"/>
    <w:rsid w:val="61AF08CE"/>
    <w:rsid w:val="64E7745B"/>
    <w:rsid w:val="6E32F21A"/>
    <w:rsid w:val="6FAA9CC1"/>
    <w:rsid w:val="71590486"/>
    <w:rsid w:val="76113325"/>
    <w:rsid w:val="761248D7"/>
    <w:rsid w:val="774FBE1B"/>
    <w:rsid w:val="7DCFC8A1"/>
    <w:rsid w:val="7E33D3FC"/>
    <w:rsid w:val="7F6B9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0F5F041B"/>
  <w15:docId w15:val="{72C11E8B-5685-459D-B706-80418F10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6344C"/>
    <w:pPr>
      <w:widowControl w:val="0"/>
      <w:spacing w:after="0" w:line="240" w:lineRule="auto"/>
      <w:ind w:left="240"/>
      <w:outlineLvl w:val="1"/>
    </w:pPr>
    <w:rPr>
      <w:rFonts w:ascii="Arial" w:eastAsia="Arial" w:hAnsi="Arial" w:cs="Times New Roman"/>
      <w:b/>
      <w:bCs/>
      <w:lang w:val="en-US"/>
    </w:rPr>
  </w:style>
  <w:style w:type="paragraph" w:styleId="Heading6">
    <w:name w:val="heading 6"/>
    <w:basedOn w:val="Normal"/>
    <w:next w:val="Normal"/>
    <w:link w:val="Heading6Char"/>
    <w:uiPriority w:val="9"/>
    <w:semiHidden/>
    <w:unhideWhenUsed/>
    <w:qFormat/>
    <w:rsid w:val="008B4D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A6"/>
  </w:style>
  <w:style w:type="paragraph" w:styleId="Footer">
    <w:name w:val="footer"/>
    <w:basedOn w:val="Normal"/>
    <w:link w:val="FooterChar"/>
    <w:uiPriority w:val="99"/>
    <w:unhideWhenUsed/>
    <w:rsid w:val="00F9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A6"/>
  </w:style>
  <w:style w:type="paragraph" w:styleId="BalloonText">
    <w:name w:val="Balloon Text"/>
    <w:basedOn w:val="Normal"/>
    <w:link w:val="BalloonTextChar"/>
    <w:uiPriority w:val="99"/>
    <w:semiHidden/>
    <w:unhideWhenUsed/>
    <w:rsid w:val="00F9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A6"/>
    <w:rPr>
      <w:rFonts w:ascii="Tahoma" w:hAnsi="Tahoma" w:cs="Tahoma"/>
      <w:sz w:val="16"/>
      <w:szCs w:val="16"/>
    </w:rPr>
  </w:style>
  <w:style w:type="paragraph" w:styleId="ListParagraph">
    <w:name w:val="List Paragraph"/>
    <w:basedOn w:val="Normal"/>
    <w:uiPriority w:val="1"/>
    <w:qFormat/>
    <w:rsid w:val="00BA57D3"/>
    <w:pPr>
      <w:ind w:left="720"/>
      <w:contextualSpacing/>
    </w:pPr>
  </w:style>
  <w:style w:type="paragraph" w:styleId="NoSpacing">
    <w:name w:val="No Spacing"/>
    <w:uiPriority w:val="1"/>
    <w:qFormat/>
    <w:rsid w:val="00BE1297"/>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1"/>
    <w:rsid w:val="0036344C"/>
    <w:rPr>
      <w:rFonts w:ascii="Arial" w:eastAsia="Arial" w:hAnsi="Arial" w:cs="Times New Roman"/>
      <w:b/>
      <w:bCs/>
      <w:lang w:val="en-US"/>
    </w:rPr>
  </w:style>
  <w:style w:type="character" w:styleId="CommentReference">
    <w:name w:val="annotation reference"/>
    <w:basedOn w:val="DefaultParagraphFont"/>
    <w:uiPriority w:val="99"/>
    <w:semiHidden/>
    <w:unhideWhenUsed/>
    <w:rsid w:val="001C5622"/>
    <w:rPr>
      <w:sz w:val="16"/>
      <w:szCs w:val="16"/>
    </w:rPr>
  </w:style>
  <w:style w:type="paragraph" w:styleId="CommentText">
    <w:name w:val="annotation text"/>
    <w:basedOn w:val="Normal"/>
    <w:link w:val="CommentTextChar"/>
    <w:uiPriority w:val="99"/>
    <w:semiHidden/>
    <w:unhideWhenUsed/>
    <w:rsid w:val="001C5622"/>
    <w:pPr>
      <w:spacing w:line="240" w:lineRule="auto"/>
    </w:pPr>
    <w:rPr>
      <w:sz w:val="20"/>
      <w:szCs w:val="20"/>
    </w:rPr>
  </w:style>
  <w:style w:type="character" w:customStyle="1" w:styleId="CommentTextChar">
    <w:name w:val="Comment Text Char"/>
    <w:basedOn w:val="DefaultParagraphFont"/>
    <w:link w:val="CommentText"/>
    <w:uiPriority w:val="99"/>
    <w:semiHidden/>
    <w:rsid w:val="001C5622"/>
    <w:rPr>
      <w:sz w:val="20"/>
      <w:szCs w:val="20"/>
    </w:rPr>
  </w:style>
  <w:style w:type="paragraph" w:styleId="CommentSubject">
    <w:name w:val="annotation subject"/>
    <w:basedOn w:val="CommentText"/>
    <w:next w:val="CommentText"/>
    <w:link w:val="CommentSubjectChar"/>
    <w:uiPriority w:val="99"/>
    <w:semiHidden/>
    <w:unhideWhenUsed/>
    <w:rsid w:val="001C5622"/>
    <w:rPr>
      <w:b/>
      <w:bCs/>
    </w:rPr>
  </w:style>
  <w:style w:type="character" w:customStyle="1" w:styleId="CommentSubjectChar">
    <w:name w:val="Comment Subject Char"/>
    <w:basedOn w:val="CommentTextChar"/>
    <w:link w:val="CommentSubject"/>
    <w:uiPriority w:val="99"/>
    <w:semiHidden/>
    <w:rsid w:val="001C5622"/>
    <w:rPr>
      <w:b/>
      <w:bCs/>
      <w:sz w:val="20"/>
      <w:szCs w:val="20"/>
    </w:rPr>
  </w:style>
  <w:style w:type="character" w:styleId="Hyperlink">
    <w:name w:val="Hyperlink"/>
    <w:basedOn w:val="DefaultParagraphFont"/>
    <w:uiPriority w:val="99"/>
    <w:unhideWhenUsed/>
    <w:rsid w:val="00A75CB2"/>
    <w:rPr>
      <w:color w:val="0000FF" w:themeColor="hyperlink"/>
      <w:u w:val="single"/>
    </w:rPr>
  </w:style>
  <w:style w:type="table" w:customStyle="1" w:styleId="TableGrid1">
    <w:name w:val="Table Grid1"/>
    <w:basedOn w:val="TableNormal"/>
    <w:next w:val="TableGrid"/>
    <w:uiPriority w:val="59"/>
    <w:rsid w:val="00E17731"/>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4DA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8B4DAE"/>
    <w:rPr>
      <w:rFonts w:asciiTheme="majorHAnsi" w:eastAsiaTheme="majorEastAsia" w:hAnsiTheme="majorHAnsi" w:cstheme="majorBidi"/>
      <w:i/>
      <w:iCs/>
      <w:color w:val="243F60" w:themeColor="accent1" w:themeShade="7F"/>
    </w:rPr>
  </w:style>
  <w:style w:type="paragraph" w:customStyle="1" w:styleId="NumHeadTable">
    <w:name w:val="NumHead Table"/>
    <w:basedOn w:val="Normal"/>
    <w:next w:val="NumTextTable"/>
    <w:rsid w:val="00070627"/>
    <w:pPr>
      <w:numPr>
        <w:numId w:val="3"/>
      </w:numPr>
      <w:spacing w:after="284" w:line="240" w:lineRule="auto"/>
    </w:pPr>
    <w:rPr>
      <w:rFonts w:ascii="Arial Black" w:eastAsia="Times New Roman" w:hAnsi="Arial Black" w:cs="Times New Roman"/>
      <w:color w:val="4F317F"/>
      <w:sz w:val="19"/>
      <w:szCs w:val="19"/>
    </w:rPr>
  </w:style>
  <w:style w:type="paragraph" w:customStyle="1" w:styleId="NumTextTable">
    <w:name w:val="NumText Table"/>
    <w:basedOn w:val="Normal"/>
    <w:rsid w:val="00070627"/>
    <w:pPr>
      <w:numPr>
        <w:ilvl w:val="1"/>
        <w:numId w:val="3"/>
      </w:numPr>
      <w:spacing w:after="284" w:line="240" w:lineRule="auto"/>
    </w:pPr>
    <w:rPr>
      <w:rFonts w:ascii="Garamond" w:eastAsia="Times New Roman" w:hAnsi="Garamond" w:cs="Times New Roman"/>
      <w:szCs w:val="24"/>
    </w:rPr>
  </w:style>
  <w:style w:type="paragraph" w:customStyle="1" w:styleId="Default">
    <w:name w:val="Default"/>
    <w:rsid w:val="001324D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F11F3"/>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9F11F3"/>
    <w:rPr>
      <w:rFonts w:ascii="Verdana" w:eastAsia="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6009">
      <w:bodyDiv w:val="1"/>
      <w:marLeft w:val="0"/>
      <w:marRight w:val="0"/>
      <w:marTop w:val="0"/>
      <w:marBottom w:val="0"/>
      <w:divBdr>
        <w:top w:val="none" w:sz="0" w:space="0" w:color="auto"/>
        <w:left w:val="none" w:sz="0" w:space="0" w:color="auto"/>
        <w:bottom w:val="none" w:sz="0" w:space="0" w:color="auto"/>
        <w:right w:val="none" w:sz="0" w:space="0" w:color="auto"/>
      </w:divBdr>
    </w:div>
    <w:div w:id="1213730430">
      <w:bodyDiv w:val="1"/>
      <w:marLeft w:val="0"/>
      <w:marRight w:val="0"/>
      <w:marTop w:val="0"/>
      <w:marBottom w:val="0"/>
      <w:divBdr>
        <w:top w:val="none" w:sz="0" w:space="0" w:color="auto"/>
        <w:left w:val="none" w:sz="0" w:space="0" w:color="auto"/>
        <w:bottom w:val="none" w:sz="0" w:space="0" w:color="auto"/>
        <w:right w:val="none" w:sz="0" w:space="0" w:color="auto"/>
      </w:divBdr>
    </w:div>
    <w:div w:id="18556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ons.gov.uk/employmentandlabourmarket/peopleinwork/earningsandworkinghours/bulletins/genderpaygapintheuk/2023" TargetMode="External"/><Relationship Id="Rd6264dd6708949af"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assets.publishing.service.gov.uk/media/5fd893a7e90e076631fb2286/Gender_pay_gap_in_medicine_review.pdf" TargetMode="External"/><Relationship Id="rId20" Type="http://schemas.openxmlformats.org/officeDocument/2006/relationships/fontTable" Target="fontTable.xml"/><Relationship Id="Rc5b4f412a57c427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gland.nhs.uk/long-read/nhs-equality-diversity-and-inclusion-improvement-pla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525d9a-5cbd-4b97-9b2e-fbd0f0d008e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9ff67f11-42c6-4abe-92f8-8dc5a5b142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AE96D8BABD3A4480E9F8D0220DFA16" ma:contentTypeVersion="16" ma:contentTypeDescription="Create a new document." ma:contentTypeScope="" ma:versionID="cd2fc5f09e2f41590ff5afa4723f3621">
  <xsd:schema xmlns:xsd="http://www.w3.org/2001/XMLSchema" xmlns:xs="http://www.w3.org/2001/XMLSchema" xmlns:p="http://schemas.microsoft.com/office/2006/metadata/properties" xmlns:ns1="http://schemas.microsoft.com/sharepoint/v3" xmlns:ns2="43525d9a-5cbd-4b97-9b2e-fbd0f0d008ed" xmlns:ns3="9ff67f11-42c6-4abe-92f8-8dc5a5b14209" targetNamespace="http://schemas.microsoft.com/office/2006/metadata/properties" ma:root="true" ma:fieldsID="f68c031cb9b786f095019616029ce438" ns1:_="" ns2:_="" ns3:_="">
    <xsd:import namespace="http://schemas.microsoft.com/sharepoint/v3"/>
    <xsd:import namespace="43525d9a-5cbd-4b97-9b2e-fbd0f0d008ed"/>
    <xsd:import namespace="9ff67f11-42c6-4abe-92f8-8dc5a5b1420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25d9a-5cbd-4b97-9b2e-fbd0f0d00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f67f11-42c6-4abe-92f8-8dc5a5b14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697b1db-5f01-4c1f-a9a9-5ed83f6f5b19}" ma:internalName="TaxCatchAll" ma:showField="CatchAllData" ma:web="9ff67f11-42c6-4abe-92f8-8dc5a5b14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7FD7-44AD-40A7-A4EC-5DE44698112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f67f11-42c6-4abe-92f8-8dc5a5b14209"/>
    <ds:schemaRef ds:uri="43525d9a-5cbd-4b97-9b2e-fbd0f0d008ed"/>
    <ds:schemaRef ds:uri="http://www.w3.org/XML/1998/namespace"/>
    <ds:schemaRef ds:uri="http://purl.org/dc/dcmitype/"/>
  </ds:schemaRefs>
</ds:datastoreItem>
</file>

<file path=customXml/itemProps2.xml><?xml version="1.0" encoding="utf-8"?>
<ds:datastoreItem xmlns:ds="http://schemas.openxmlformats.org/officeDocument/2006/customXml" ds:itemID="{8DAF902D-951D-405C-BBED-352999E6B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525d9a-5cbd-4b97-9b2e-fbd0f0d008ed"/>
    <ds:schemaRef ds:uri="9ff67f11-42c6-4abe-92f8-8dc5a5b14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D5294-9DFE-460D-BBFE-6FB73F6ABAAF}">
  <ds:schemaRefs>
    <ds:schemaRef ds:uri="http://schemas.microsoft.com/sharepoint/v3/contenttype/forms"/>
  </ds:schemaRefs>
</ds:datastoreItem>
</file>

<file path=customXml/itemProps4.xml><?xml version="1.0" encoding="utf-8"?>
<ds:datastoreItem xmlns:ds="http://schemas.openxmlformats.org/officeDocument/2006/customXml" ds:itemID="{84773695-F97B-447B-8B9B-8F51A007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Mould Hannah (RWN) SE Partnership</dc:creator>
  <cp:lastModifiedBy>Pearson Shayna (R1L) Essex Partnership</cp:lastModifiedBy>
  <cp:revision>5</cp:revision>
  <cp:lastPrinted>2015-07-24T11:33:00Z</cp:lastPrinted>
  <dcterms:created xsi:type="dcterms:W3CDTF">2024-03-27T12:40:00Z</dcterms:created>
  <dcterms:modified xsi:type="dcterms:W3CDTF">2024-03-27T12:53:00Z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0x01010023AE96D8BABD3A4480E9F8D0220DFA16</vt:lpwstr>
  </property>
  <property fmtid="{D5CDD505-2E9C-101B-9397-08002B2CF9AE}" pid="3" name="MediaServiceImageTags">
    <vt:lpwstr/>
  </property>
</Properties>
</file>